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B01" w:rsidRDefault="00E42B01" w:rsidP="00E42B01">
      <w:pPr>
        <w:ind w:left="1416"/>
        <w:rPr>
          <w:strike/>
          <w:noProof/>
          <w:sz w:val="18"/>
          <w:szCs w:val="18"/>
          <w:lang w:val="es-ES_tradnl" w:eastAsia="es-PE"/>
        </w:rPr>
      </w:pPr>
      <w:bookmarkStart w:id="0" w:name="_GoBack"/>
      <w:bookmarkEnd w:id="0"/>
      <w:r>
        <w:rPr>
          <w:noProof/>
          <w:sz w:val="18"/>
          <w:szCs w:val="18"/>
          <w:lang w:val="es-PE" w:eastAsia="es-PE"/>
        </w:rPr>
        <w:drawing>
          <wp:anchor distT="0" distB="0" distL="114300" distR="114300" simplePos="0" relativeHeight="251659264" behindDoc="1" locked="0" layoutInCell="1" allowOverlap="1">
            <wp:simplePos x="0" y="0"/>
            <wp:positionH relativeFrom="column">
              <wp:posOffset>2629535</wp:posOffset>
            </wp:positionH>
            <wp:positionV relativeFrom="paragraph">
              <wp:posOffset>17145</wp:posOffset>
            </wp:positionV>
            <wp:extent cx="828675" cy="685800"/>
            <wp:effectExtent l="0" t="0" r="9525" b="0"/>
            <wp:wrapTight wrapText="bothSides">
              <wp:wrapPolygon edited="0">
                <wp:start x="0" y="0"/>
                <wp:lineTo x="0" y="21000"/>
                <wp:lineTo x="21352" y="21000"/>
                <wp:lineTo x="21352" y="0"/>
                <wp:lineTo x="0" y="0"/>
              </wp:wrapPolygon>
            </wp:wrapTight>
            <wp:docPr id="1" name="Imagen 1" descr="Logo Academia de la Magistra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Academia de la Magistrau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685800"/>
                    </a:xfrm>
                    <a:prstGeom prst="rect">
                      <a:avLst/>
                    </a:prstGeom>
                    <a:noFill/>
                  </pic:spPr>
                </pic:pic>
              </a:graphicData>
            </a:graphic>
            <wp14:sizeRelH relativeFrom="page">
              <wp14:pctWidth>0</wp14:pctWidth>
            </wp14:sizeRelH>
            <wp14:sizeRelV relativeFrom="page">
              <wp14:pctHeight>0</wp14:pctHeight>
            </wp14:sizeRelV>
          </wp:anchor>
        </w:drawing>
      </w:r>
    </w:p>
    <w:p w:rsidR="00E42B01" w:rsidRDefault="00E42B01" w:rsidP="00E42B01">
      <w:pPr>
        <w:ind w:left="1416"/>
        <w:rPr>
          <w:rFonts w:ascii="Arial Narrow" w:hAnsi="Arial Narrow" w:cs="Tahoma"/>
          <w:sz w:val="18"/>
          <w:szCs w:val="18"/>
          <w:lang w:val="es-ES_tradnl"/>
        </w:rPr>
      </w:pPr>
      <w:r>
        <w:rPr>
          <w:noProof/>
          <w:sz w:val="18"/>
          <w:szCs w:val="18"/>
          <w:lang w:val="es-ES_tradnl" w:eastAsia="es-PE"/>
        </w:rPr>
        <w:t xml:space="preserve">                                                                                </w:t>
      </w:r>
    </w:p>
    <w:p w:rsidR="00E42B01" w:rsidRDefault="00E42B01" w:rsidP="00E42B01">
      <w:pPr>
        <w:rPr>
          <w:sz w:val="18"/>
          <w:szCs w:val="18"/>
          <w:lang w:val="es-ES_tradnl"/>
        </w:rPr>
      </w:pPr>
    </w:p>
    <w:p w:rsidR="00E42B01" w:rsidRDefault="00E42B01" w:rsidP="00E42B01">
      <w:pPr>
        <w:rPr>
          <w:sz w:val="18"/>
          <w:szCs w:val="18"/>
          <w:lang w:val="es-ES_tradnl"/>
        </w:rPr>
      </w:pPr>
    </w:p>
    <w:p w:rsidR="00E42B01" w:rsidRDefault="00E42B01" w:rsidP="00E42B01">
      <w:pPr>
        <w:rPr>
          <w:sz w:val="18"/>
          <w:szCs w:val="18"/>
          <w:lang w:val="es-ES_tradnl"/>
        </w:rPr>
      </w:pPr>
    </w:p>
    <w:p w:rsidR="00E42B01" w:rsidRDefault="00E42B01" w:rsidP="00E42B01">
      <w:pPr>
        <w:rPr>
          <w:sz w:val="18"/>
          <w:szCs w:val="18"/>
          <w:lang w:val="es-ES_tradnl"/>
        </w:rPr>
      </w:pPr>
    </w:p>
    <w:p w:rsidR="00E42B01" w:rsidRPr="00BE316F" w:rsidRDefault="00E42B01" w:rsidP="00E42B01">
      <w:pPr>
        <w:pStyle w:val="Ttulo2"/>
        <w:pBdr>
          <w:left w:val="single" w:sz="4" w:space="6" w:color="auto"/>
          <w:bottom w:val="single" w:sz="4" w:space="0" w:color="auto"/>
          <w:right w:val="single" w:sz="4" w:space="12" w:color="auto"/>
        </w:pBdr>
        <w:spacing w:line="360" w:lineRule="auto"/>
        <w:rPr>
          <w:sz w:val="22"/>
        </w:rPr>
      </w:pPr>
      <w:r w:rsidRPr="00BE316F">
        <w:rPr>
          <w:sz w:val="22"/>
        </w:rPr>
        <w:t xml:space="preserve">CONVOCATORIA </w:t>
      </w:r>
    </w:p>
    <w:p w:rsidR="00E42B01" w:rsidRPr="00BE316F" w:rsidRDefault="007F1682" w:rsidP="00E42B01">
      <w:pPr>
        <w:pStyle w:val="Ttulo2"/>
        <w:pBdr>
          <w:left w:val="single" w:sz="4" w:space="6" w:color="auto"/>
          <w:bottom w:val="single" w:sz="4" w:space="0" w:color="auto"/>
          <w:right w:val="single" w:sz="4" w:space="12" w:color="auto"/>
        </w:pBdr>
        <w:rPr>
          <w:sz w:val="22"/>
        </w:rPr>
      </w:pPr>
      <w:r>
        <w:rPr>
          <w:sz w:val="22"/>
        </w:rPr>
        <w:t xml:space="preserve">VIDEO </w:t>
      </w:r>
      <w:r w:rsidR="00E42B01" w:rsidRPr="00BE316F">
        <w:rPr>
          <w:sz w:val="22"/>
        </w:rPr>
        <w:t>ONFERENCIAS  INTERNACIONALES:</w:t>
      </w:r>
    </w:p>
    <w:p w:rsidR="00E42B01" w:rsidRPr="00BE316F" w:rsidRDefault="00E42B01" w:rsidP="00E42B01">
      <w:pPr>
        <w:pStyle w:val="Ttulo2"/>
        <w:pBdr>
          <w:left w:val="single" w:sz="4" w:space="6" w:color="auto"/>
          <w:bottom w:val="single" w:sz="4" w:space="0" w:color="auto"/>
          <w:right w:val="single" w:sz="4" w:space="12" w:color="auto"/>
        </w:pBdr>
        <w:rPr>
          <w:sz w:val="12"/>
        </w:rPr>
      </w:pPr>
      <w:r w:rsidRPr="00BE316F">
        <w:rPr>
          <w:sz w:val="22"/>
        </w:rPr>
        <w:t xml:space="preserve"> </w:t>
      </w:r>
    </w:p>
    <w:p w:rsidR="00E42B01" w:rsidRPr="00BE316F" w:rsidRDefault="00E42B01" w:rsidP="00E42B01">
      <w:pPr>
        <w:pStyle w:val="Ttulo2"/>
        <w:pBdr>
          <w:left w:val="single" w:sz="4" w:space="6" w:color="auto"/>
          <w:bottom w:val="single" w:sz="4" w:space="0" w:color="auto"/>
          <w:right w:val="single" w:sz="4" w:space="12" w:color="auto"/>
        </w:pBdr>
        <w:rPr>
          <w:sz w:val="22"/>
        </w:rPr>
      </w:pPr>
      <w:r w:rsidRPr="00BE316F">
        <w:rPr>
          <w:sz w:val="22"/>
        </w:rPr>
        <w:t xml:space="preserve">“LA PRESUNCIÓN DE INOCENCIA Y EL PRINCIPIO ACUSATORIO”  </w:t>
      </w:r>
    </w:p>
    <w:p w:rsidR="00E42B01" w:rsidRPr="00BE316F" w:rsidRDefault="00E42B01" w:rsidP="00E42B01">
      <w:pPr>
        <w:pStyle w:val="Ttulo2"/>
        <w:pBdr>
          <w:left w:val="single" w:sz="4" w:space="6" w:color="auto"/>
          <w:bottom w:val="single" w:sz="4" w:space="0" w:color="auto"/>
          <w:right w:val="single" w:sz="4" w:space="12" w:color="auto"/>
        </w:pBdr>
        <w:rPr>
          <w:sz w:val="22"/>
        </w:rPr>
      </w:pPr>
      <w:r w:rsidRPr="00BE316F">
        <w:rPr>
          <w:sz w:val="22"/>
        </w:rPr>
        <w:t>Y</w:t>
      </w:r>
    </w:p>
    <w:p w:rsidR="00E42B01" w:rsidRPr="00BE316F" w:rsidRDefault="00E42B01" w:rsidP="007F1682">
      <w:pPr>
        <w:pStyle w:val="Ttulo2"/>
        <w:pBdr>
          <w:left w:val="single" w:sz="4" w:space="6" w:color="auto"/>
          <w:bottom w:val="single" w:sz="4" w:space="0" w:color="auto"/>
          <w:right w:val="single" w:sz="4" w:space="12" w:color="auto"/>
        </w:pBdr>
        <w:rPr>
          <w:sz w:val="22"/>
        </w:rPr>
      </w:pPr>
      <w:r w:rsidRPr="00BE316F">
        <w:rPr>
          <w:sz w:val="22"/>
        </w:rPr>
        <w:t>“EL DERECHO PROCESAL ANTE LA JUDICIALIZACIÓN DE LOS DERECHOS ECONÓMICOS, SOCIALES Y</w:t>
      </w:r>
      <w:r w:rsidR="007F1682">
        <w:rPr>
          <w:sz w:val="22"/>
        </w:rPr>
        <w:t xml:space="preserve"> </w:t>
      </w:r>
      <w:r w:rsidRPr="00BE316F">
        <w:rPr>
          <w:sz w:val="22"/>
        </w:rPr>
        <w:t xml:space="preserve">CULTURALES” </w:t>
      </w:r>
    </w:p>
    <w:p w:rsidR="00E42B01" w:rsidRPr="00BE316F" w:rsidRDefault="00E42B01" w:rsidP="00E42B01">
      <w:pPr>
        <w:pStyle w:val="Ttulo2"/>
        <w:pBdr>
          <w:left w:val="single" w:sz="4" w:space="6" w:color="auto"/>
          <w:bottom w:val="single" w:sz="4" w:space="0" w:color="auto"/>
          <w:right w:val="single" w:sz="4" w:space="12" w:color="auto"/>
        </w:pBdr>
        <w:rPr>
          <w:sz w:val="12"/>
        </w:rPr>
      </w:pPr>
    </w:p>
    <w:p w:rsidR="00E42B01" w:rsidRPr="00BE316F" w:rsidRDefault="00E42B01" w:rsidP="00E42B01">
      <w:pPr>
        <w:pStyle w:val="Ttulo2"/>
        <w:pBdr>
          <w:left w:val="single" w:sz="4" w:space="6" w:color="auto"/>
          <w:bottom w:val="single" w:sz="4" w:space="0" w:color="auto"/>
          <w:right w:val="single" w:sz="4" w:space="12" w:color="auto"/>
        </w:pBdr>
        <w:rPr>
          <w:sz w:val="22"/>
        </w:rPr>
      </w:pPr>
      <w:r>
        <w:rPr>
          <w:sz w:val="22"/>
        </w:rPr>
        <w:t xml:space="preserve">EN EL MARCO DEL XXIII </w:t>
      </w:r>
      <w:r w:rsidRPr="00BE316F">
        <w:rPr>
          <w:sz w:val="22"/>
        </w:rPr>
        <w:t xml:space="preserve">ANIVERSARIO DE LA ACADEMIA DE LA MAGISTRATURA </w:t>
      </w:r>
    </w:p>
    <w:p w:rsidR="00E42B01" w:rsidRPr="00003A43" w:rsidRDefault="00E42B01" w:rsidP="00E42B01">
      <w:pPr>
        <w:jc w:val="both"/>
        <w:rPr>
          <w:lang w:val="es-ES_tradnl"/>
        </w:rPr>
      </w:pPr>
    </w:p>
    <w:p w:rsidR="00E42B01" w:rsidRPr="001C4DEE" w:rsidRDefault="00E42B01" w:rsidP="00E42B01">
      <w:pPr>
        <w:pStyle w:val="Textodebloque"/>
        <w:ind w:right="-143"/>
        <w:rPr>
          <w:rFonts w:ascii="Arial Narrow" w:hAnsi="Arial Narrow" w:cs="Arial Narrow"/>
          <w:sz w:val="20"/>
          <w:lang w:val="es-ES_tradnl"/>
        </w:rPr>
      </w:pPr>
      <w:r w:rsidRPr="001C4DEE">
        <w:rPr>
          <w:rFonts w:ascii="Arial Narrow" w:hAnsi="Arial Narrow" w:cs="Arial Narrow"/>
          <w:sz w:val="20"/>
          <w:lang w:val="es-ES_tradnl"/>
        </w:rPr>
        <w:t>La Academia de la Magistratura tiene el agrado de invitar a los señores magistrados del Poder Judicial y Ministerio Público, así como a los Auxiliares Jurisdiccionales y Asistentes en</w:t>
      </w:r>
      <w:r w:rsidR="007F1682">
        <w:rPr>
          <w:rFonts w:ascii="Arial Narrow" w:hAnsi="Arial Narrow" w:cs="Arial Narrow"/>
          <w:sz w:val="20"/>
          <w:lang w:val="es-ES_tradnl"/>
        </w:rPr>
        <w:t xml:space="preserve"> Función Fiscal</w:t>
      </w:r>
      <w:r w:rsidRPr="001C4DEE">
        <w:rPr>
          <w:rFonts w:ascii="Arial Narrow" w:hAnsi="Arial Narrow" w:cs="Arial Narrow"/>
          <w:color w:val="000000"/>
          <w:sz w:val="20"/>
          <w:lang w:val="es-ES_tradnl"/>
        </w:rPr>
        <w:t xml:space="preserve">, </w:t>
      </w:r>
      <w:r w:rsidRPr="00BE316F">
        <w:rPr>
          <w:rFonts w:ascii="Arial Narrow" w:hAnsi="Arial Narrow" w:cs="Arial Narrow"/>
          <w:sz w:val="20"/>
          <w:lang w:val="es-ES_tradnl"/>
        </w:rPr>
        <w:t xml:space="preserve">a las </w:t>
      </w:r>
      <w:r w:rsidR="007F1682">
        <w:rPr>
          <w:rFonts w:ascii="Arial Narrow" w:hAnsi="Arial Narrow" w:cs="Arial Narrow"/>
          <w:b/>
          <w:sz w:val="20"/>
          <w:lang w:val="es-ES_tradnl"/>
        </w:rPr>
        <w:t>VIDEO C</w:t>
      </w:r>
      <w:r w:rsidRPr="00BE316F">
        <w:rPr>
          <w:rFonts w:ascii="Arial Narrow" w:hAnsi="Arial Narrow" w:cs="Arial Narrow"/>
          <w:b/>
          <w:sz w:val="20"/>
          <w:lang w:val="es-ES_tradnl"/>
        </w:rPr>
        <w:t>ONFERENCIAS INTERNACIONALES</w:t>
      </w:r>
      <w:r w:rsidRPr="00BE316F">
        <w:rPr>
          <w:rFonts w:ascii="Arial Narrow" w:hAnsi="Arial Narrow" w:cs="Arial Narrow"/>
          <w:sz w:val="20"/>
          <w:lang w:val="es-ES_tradnl"/>
        </w:rPr>
        <w:t xml:space="preserve"> a</w:t>
      </w:r>
      <w:r>
        <w:rPr>
          <w:rFonts w:ascii="Arial Narrow" w:hAnsi="Arial Narrow" w:cs="Arial Narrow"/>
          <w:sz w:val="20"/>
          <w:lang w:val="es-ES_tradnl"/>
        </w:rPr>
        <w:t xml:space="preserve"> </w:t>
      </w:r>
      <w:r w:rsidRPr="00BE316F">
        <w:rPr>
          <w:rFonts w:ascii="Arial Narrow" w:hAnsi="Arial Narrow" w:cs="Arial Narrow"/>
          <w:sz w:val="20"/>
          <w:lang w:val="es-ES_tradnl"/>
        </w:rPr>
        <w:t>realizarse en el marco del XXII</w:t>
      </w:r>
      <w:r>
        <w:rPr>
          <w:rFonts w:ascii="Arial Narrow" w:hAnsi="Arial Narrow" w:cs="Arial Narrow"/>
          <w:sz w:val="20"/>
          <w:lang w:val="es-ES_tradnl"/>
        </w:rPr>
        <w:t>I</w:t>
      </w:r>
      <w:r w:rsidRPr="00BE316F">
        <w:rPr>
          <w:rFonts w:ascii="Arial Narrow" w:hAnsi="Arial Narrow" w:cs="Arial Narrow"/>
          <w:sz w:val="20"/>
          <w:lang w:val="es-ES_tradnl"/>
        </w:rPr>
        <w:t xml:space="preserve"> Aniversario de la Academia de la Magistratura, de acuerdo al detalle siguiente:</w:t>
      </w:r>
      <w:r w:rsidRPr="00BE316F">
        <w:rPr>
          <w:rFonts w:ascii="Arial Narrow" w:hAnsi="Arial Narrow" w:cs="Arial Narrow"/>
          <w:sz w:val="20"/>
          <w:lang w:val="es-ES_tradnl"/>
        </w:rPr>
        <w:cr/>
      </w:r>
    </w:p>
    <w:p w:rsidR="00E42B01" w:rsidRPr="001C4DEE" w:rsidRDefault="00E42B01" w:rsidP="00E42B01">
      <w:pPr>
        <w:numPr>
          <w:ilvl w:val="0"/>
          <w:numId w:val="1"/>
        </w:numPr>
        <w:tabs>
          <w:tab w:val="clear" w:pos="76"/>
        </w:tabs>
        <w:ind w:left="284" w:right="-143" w:hanging="284"/>
        <w:jc w:val="both"/>
        <w:rPr>
          <w:rFonts w:ascii="Arial Narrow" w:hAnsi="Arial Narrow" w:cs="Arial Narrow"/>
          <w:lang w:val="es-ES_tradnl"/>
        </w:rPr>
      </w:pPr>
      <w:r w:rsidRPr="001C4DEE">
        <w:rPr>
          <w:rFonts w:ascii="Arial Narrow" w:hAnsi="Arial Narrow" w:cs="Arial Narrow"/>
          <w:b/>
          <w:bCs/>
          <w:lang w:val="es-ES_tradnl"/>
        </w:rPr>
        <w:t xml:space="preserve">INFORMACIÓN ACADÉMICA VINCULADA A LA EJECUCIÓN DE LA ACTIVIDAD </w:t>
      </w:r>
    </w:p>
    <w:p w:rsidR="00E42B01" w:rsidRPr="001C4DEE" w:rsidRDefault="00E42B01" w:rsidP="00E42B01">
      <w:pPr>
        <w:ind w:left="284" w:right="-143"/>
        <w:jc w:val="both"/>
        <w:rPr>
          <w:rFonts w:ascii="Arial Narrow" w:hAnsi="Arial Narrow" w:cs="Arial Narrow"/>
          <w:lang w:val="es-ES_tradnl"/>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
        <w:gridCol w:w="825"/>
        <w:gridCol w:w="1240"/>
        <w:gridCol w:w="690"/>
        <w:gridCol w:w="1952"/>
        <w:gridCol w:w="991"/>
        <w:gridCol w:w="1559"/>
        <w:gridCol w:w="1557"/>
      </w:tblGrid>
      <w:tr w:rsidR="007F1682" w:rsidRPr="001C4DEE" w:rsidTr="007F1682">
        <w:trPr>
          <w:trHeight w:val="672"/>
        </w:trPr>
        <w:tc>
          <w:tcPr>
            <w:tcW w:w="493" w:type="pct"/>
            <w:shd w:val="clear" w:color="auto" w:fill="E0E0E0"/>
            <w:vAlign w:val="center"/>
          </w:tcPr>
          <w:p w:rsidR="007F1682" w:rsidRPr="007F1682" w:rsidRDefault="007F1682" w:rsidP="005D4564">
            <w:pPr>
              <w:jc w:val="center"/>
              <w:rPr>
                <w:rFonts w:ascii="Arial Narrow" w:hAnsi="Arial Narrow" w:cs="Tahoma"/>
                <w:b/>
                <w:bCs/>
                <w:sz w:val="18"/>
                <w:szCs w:val="18"/>
                <w:lang w:val="es-ES_tradnl"/>
              </w:rPr>
            </w:pPr>
            <w:r w:rsidRPr="007F1682">
              <w:rPr>
                <w:rFonts w:ascii="Arial Narrow" w:hAnsi="Arial Narrow" w:cs="Tahoma"/>
                <w:b/>
                <w:bCs/>
                <w:sz w:val="18"/>
                <w:szCs w:val="18"/>
                <w:lang w:val="es-ES_tradnl"/>
              </w:rPr>
              <w:t>Línea de formación</w:t>
            </w:r>
          </w:p>
        </w:tc>
        <w:tc>
          <w:tcPr>
            <w:tcW w:w="422" w:type="pct"/>
            <w:shd w:val="clear" w:color="auto" w:fill="E0E0E0"/>
            <w:vAlign w:val="center"/>
          </w:tcPr>
          <w:p w:rsidR="007F1682" w:rsidRPr="007F1682" w:rsidRDefault="007F1682" w:rsidP="005D4564">
            <w:pPr>
              <w:jc w:val="center"/>
              <w:rPr>
                <w:rFonts w:ascii="Arial Narrow" w:hAnsi="Arial Narrow" w:cs="Tahoma"/>
                <w:b/>
                <w:bCs/>
                <w:sz w:val="18"/>
                <w:szCs w:val="18"/>
                <w:lang w:val="es-ES_tradnl"/>
              </w:rPr>
            </w:pPr>
            <w:r w:rsidRPr="007F1682">
              <w:rPr>
                <w:rFonts w:ascii="Arial Narrow" w:hAnsi="Arial Narrow" w:cs="Tahoma"/>
                <w:b/>
                <w:bCs/>
                <w:sz w:val="18"/>
                <w:szCs w:val="18"/>
                <w:lang w:val="es-ES_tradnl"/>
              </w:rPr>
              <w:t>Área temática</w:t>
            </w:r>
          </w:p>
        </w:tc>
        <w:tc>
          <w:tcPr>
            <w:tcW w:w="634" w:type="pct"/>
            <w:shd w:val="clear" w:color="auto" w:fill="E0E0E0"/>
            <w:vAlign w:val="center"/>
          </w:tcPr>
          <w:p w:rsidR="007F1682" w:rsidRPr="007F1682" w:rsidRDefault="007F1682" w:rsidP="005D4564">
            <w:pPr>
              <w:jc w:val="center"/>
              <w:rPr>
                <w:rFonts w:ascii="Arial Narrow" w:hAnsi="Arial Narrow" w:cs="Tahoma"/>
                <w:b/>
                <w:bCs/>
                <w:sz w:val="18"/>
                <w:szCs w:val="18"/>
                <w:lang w:val="es-ES_tradnl"/>
              </w:rPr>
            </w:pPr>
            <w:r w:rsidRPr="007F1682">
              <w:rPr>
                <w:rFonts w:ascii="Arial Narrow" w:hAnsi="Arial Narrow" w:cs="Tahoma"/>
                <w:b/>
                <w:bCs/>
                <w:sz w:val="18"/>
                <w:szCs w:val="18"/>
                <w:lang w:val="es-ES_tradnl"/>
              </w:rPr>
              <w:t>Denominación específica</w:t>
            </w:r>
          </w:p>
        </w:tc>
        <w:tc>
          <w:tcPr>
            <w:tcW w:w="353" w:type="pct"/>
            <w:shd w:val="clear" w:color="auto" w:fill="E0E0E0"/>
            <w:vAlign w:val="center"/>
          </w:tcPr>
          <w:p w:rsidR="007F1682" w:rsidRPr="007F1682" w:rsidRDefault="007F1682" w:rsidP="005D4564">
            <w:pPr>
              <w:jc w:val="center"/>
              <w:rPr>
                <w:rFonts w:ascii="Arial Narrow" w:hAnsi="Arial Narrow" w:cs="Tahoma"/>
                <w:b/>
                <w:bCs/>
                <w:sz w:val="18"/>
                <w:szCs w:val="18"/>
                <w:lang w:val="es-ES_tradnl"/>
              </w:rPr>
            </w:pPr>
            <w:r w:rsidRPr="007F1682">
              <w:rPr>
                <w:rFonts w:ascii="Arial Narrow" w:hAnsi="Arial Narrow" w:cs="Tahoma"/>
                <w:b/>
                <w:bCs/>
                <w:sz w:val="18"/>
                <w:szCs w:val="18"/>
                <w:lang w:val="es-ES_tradnl"/>
              </w:rPr>
              <w:t>Horas lectivas</w:t>
            </w:r>
          </w:p>
        </w:tc>
        <w:tc>
          <w:tcPr>
            <w:tcW w:w="998" w:type="pct"/>
            <w:shd w:val="clear" w:color="auto" w:fill="E0E0E0"/>
            <w:vAlign w:val="center"/>
          </w:tcPr>
          <w:p w:rsidR="007F1682" w:rsidRPr="007F1682" w:rsidRDefault="007F1682" w:rsidP="005D4564">
            <w:pPr>
              <w:jc w:val="center"/>
              <w:rPr>
                <w:rFonts w:ascii="Arial Narrow" w:hAnsi="Arial Narrow" w:cs="Tahoma"/>
                <w:b/>
                <w:bCs/>
                <w:sz w:val="18"/>
                <w:szCs w:val="18"/>
                <w:lang w:val="es-ES_tradnl"/>
              </w:rPr>
            </w:pPr>
            <w:r w:rsidRPr="007F1682">
              <w:rPr>
                <w:rFonts w:ascii="Arial Narrow" w:hAnsi="Arial Narrow" w:cs="Tahoma"/>
                <w:b/>
                <w:bCs/>
                <w:sz w:val="18"/>
                <w:szCs w:val="18"/>
                <w:lang w:val="es-ES_tradnl"/>
              </w:rPr>
              <w:t>Expositor</w:t>
            </w:r>
          </w:p>
        </w:tc>
        <w:tc>
          <w:tcPr>
            <w:tcW w:w="507" w:type="pct"/>
            <w:shd w:val="clear" w:color="auto" w:fill="E0E0E0"/>
            <w:vAlign w:val="center"/>
          </w:tcPr>
          <w:p w:rsidR="007F1682" w:rsidRPr="007F1682" w:rsidRDefault="007F1682" w:rsidP="005D4564">
            <w:pPr>
              <w:jc w:val="center"/>
              <w:rPr>
                <w:rFonts w:ascii="Arial Narrow" w:hAnsi="Arial Narrow" w:cs="Tahoma"/>
                <w:b/>
                <w:bCs/>
                <w:sz w:val="18"/>
                <w:szCs w:val="18"/>
                <w:lang w:val="es-ES_tradnl"/>
              </w:rPr>
            </w:pPr>
            <w:r w:rsidRPr="007F1682">
              <w:rPr>
                <w:rFonts w:ascii="Arial Narrow" w:hAnsi="Arial Narrow" w:cs="Tahoma"/>
                <w:b/>
                <w:bCs/>
                <w:sz w:val="18"/>
                <w:szCs w:val="18"/>
                <w:lang w:val="es-ES_tradnl"/>
              </w:rPr>
              <w:t>Modalidad educativa</w:t>
            </w:r>
          </w:p>
        </w:tc>
        <w:tc>
          <w:tcPr>
            <w:tcW w:w="797" w:type="pct"/>
            <w:tcBorders>
              <w:bottom w:val="single" w:sz="4" w:space="0" w:color="auto"/>
            </w:tcBorders>
            <w:shd w:val="clear" w:color="auto" w:fill="E0E0E0"/>
            <w:vAlign w:val="center"/>
          </w:tcPr>
          <w:p w:rsidR="007F1682" w:rsidRPr="007F1682" w:rsidRDefault="007F1682" w:rsidP="005D4564">
            <w:pPr>
              <w:jc w:val="center"/>
              <w:rPr>
                <w:rFonts w:ascii="Arial Narrow" w:hAnsi="Arial Narrow" w:cs="Tahoma"/>
                <w:b/>
                <w:bCs/>
                <w:sz w:val="18"/>
                <w:szCs w:val="18"/>
                <w:lang w:val="es-ES_tradnl"/>
              </w:rPr>
            </w:pPr>
            <w:r w:rsidRPr="007F1682">
              <w:rPr>
                <w:rFonts w:ascii="Arial Narrow" w:hAnsi="Arial Narrow" w:cs="Tahoma"/>
                <w:b/>
                <w:bCs/>
                <w:sz w:val="18"/>
                <w:szCs w:val="18"/>
                <w:lang w:val="es-ES_tradnl"/>
              </w:rPr>
              <w:t xml:space="preserve">Sede de ejecución </w:t>
            </w:r>
          </w:p>
        </w:tc>
        <w:tc>
          <w:tcPr>
            <w:tcW w:w="796" w:type="pct"/>
            <w:shd w:val="clear" w:color="auto" w:fill="E0E0E0"/>
            <w:vAlign w:val="center"/>
          </w:tcPr>
          <w:p w:rsidR="007F1682" w:rsidRPr="007F1682" w:rsidRDefault="007F1682" w:rsidP="005D4564">
            <w:pPr>
              <w:jc w:val="center"/>
              <w:rPr>
                <w:rFonts w:ascii="Arial Narrow" w:hAnsi="Arial Narrow" w:cs="Tahoma"/>
                <w:b/>
                <w:bCs/>
                <w:sz w:val="18"/>
                <w:szCs w:val="18"/>
                <w:lang w:val="es-ES_tradnl"/>
              </w:rPr>
            </w:pPr>
            <w:r w:rsidRPr="007F1682">
              <w:rPr>
                <w:rFonts w:ascii="Arial Narrow" w:hAnsi="Arial Narrow" w:cs="Tahoma"/>
                <w:b/>
                <w:bCs/>
                <w:sz w:val="18"/>
                <w:szCs w:val="18"/>
                <w:lang w:val="es-ES_tradnl"/>
              </w:rPr>
              <w:t>Fecha de ejecución</w:t>
            </w:r>
          </w:p>
        </w:tc>
      </w:tr>
      <w:tr w:rsidR="007F1682" w:rsidRPr="001C4DEE" w:rsidTr="007F1682">
        <w:trPr>
          <w:trHeight w:val="1317"/>
        </w:trPr>
        <w:tc>
          <w:tcPr>
            <w:tcW w:w="493" w:type="pct"/>
            <w:vMerge w:val="restart"/>
            <w:textDirection w:val="btLr"/>
            <w:vAlign w:val="center"/>
          </w:tcPr>
          <w:p w:rsidR="007F1682" w:rsidRPr="001C4DEE" w:rsidRDefault="007F1682" w:rsidP="005D4564">
            <w:pPr>
              <w:ind w:left="113" w:right="113"/>
              <w:jc w:val="center"/>
              <w:rPr>
                <w:rFonts w:ascii="Arial Narrow" w:hAnsi="Arial Narrow" w:cs="Arial Narrow"/>
                <w:color w:val="000000"/>
                <w:lang w:val="es-ES_tradnl"/>
              </w:rPr>
            </w:pPr>
            <w:r w:rsidRPr="001C4DEE">
              <w:rPr>
                <w:rFonts w:ascii="Arial Narrow" w:hAnsi="Arial Narrow" w:cs="Arial Narrow"/>
                <w:color w:val="000000"/>
                <w:lang w:val="es-ES_tradnl"/>
              </w:rPr>
              <w:t>Especializada</w:t>
            </w:r>
          </w:p>
        </w:tc>
        <w:tc>
          <w:tcPr>
            <w:tcW w:w="422" w:type="pct"/>
            <w:vMerge w:val="restart"/>
            <w:vAlign w:val="center"/>
          </w:tcPr>
          <w:p w:rsidR="007F1682" w:rsidRPr="001C4DEE" w:rsidRDefault="007F1682" w:rsidP="005D4564">
            <w:pPr>
              <w:jc w:val="center"/>
              <w:rPr>
                <w:rFonts w:ascii="Arial Narrow" w:hAnsi="Arial Narrow" w:cs="Arial Narrow"/>
              </w:rPr>
            </w:pPr>
            <w:r>
              <w:rPr>
                <w:rFonts w:ascii="Arial Narrow" w:hAnsi="Arial Narrow" w:cs="Arial Narrow"/>
              </w:rPr>
              <w:t xml:space="preserve">Derecho </w:t>
            </w:r>
            <w:r w:rsidRPr="001C4DEE">
              <w:rPr>
                <w:rFonts w:ascii="Arial Narrow" w:hAnsi="Arial Narrow" w:cs="Arial Narrow"/>
              </w:rPr>
              <w:t>Penal</w:t>
            </w:r>
          </w:p>
        </w:tc>
        <w:tc>
          <w:tcPr>
            <w:tcW w:w="634" w:type="pct"/>
            <w:vAlign w:val="center"/>
          </w:tcPr>
          <w:p w:rsidR="007F1682" w:rsidRPr="001C4DEE" w:rsidRDefault="007F1682" w:rsidP="005D4564">
            <w:pPr>
              <w:ind w:left="-70" w:right="-70"/>
              <w:jc w:val="center"/>
              <w:rPr>
                <w:rFonts w:ascii="Arial Narrow" w:hAnsi="Arial Narrow" w:cs="Arial"/>
              </w:rPr>
            </w:pPr>
            <w:r w:rsidRPr="001C4DEE">
              <w:rPr>
                <w:rFonts w:ascii="Arial Narrow" w:hAnsi="Arial Narrow" w:cs="Arial"/>
              </w:rPr>
              <w:t>Conferencia Internacional “</w:t>
            </w:r>
            <w:r w:rsidRPr="00BE316F">
              <w:rPr>
                <w:rFonts w:ascii="Arial Narrow" w:hAnsi="Arial Narrow" w:cs="Arial"/>
              </w:rPr>
              <w:t>La Presunción de Inocencia y el Principio Acusatorio</w:t>
            </w:r>
            <w:r>
              <w:rPr>
                <w:rFonts w:ascii="Arial Narrow" w:hAnsi="Arial Narrow" w:cs="Arial"/>
              </w:rPr>
              <w:t xml:space="preserve">” </w:t>
            </w:r>
          </w:p>
        </w:tc>
        <w:tc>
          <w:tcPr>
            <w:tcW w:w="353" w:type="pct"/>
            <w:vMerge w:val="restart"/>
            <w:vAlign w:val="center"/>
          </w:tcPr>
          <w:p w:rsidR="007F1682" w:rsidRPr="001C4DEE" w:rsidRDefault="007F1682" w:rsidP="005D4564">
            <w:pPr>
              <w:jc w:val="center"/>
              <w:rPr>
                <w:rFonts w:ascii="Arial Narrow" w:hAnsi="Arial Narrow"/>
                <w:lang w:val="es-ES_tradnl"/>
              </w:rPr>
            </w:pPr>
            <w:r w:rsidRPr="001C4DEE">
              <w:rPr>
                <w:rFonts w:ascii="Arial Narrow" w:hAnsi="Arial Narrow"/>
                <w:lang w:val="es-ES_tradnl"/>
              </w:rPr>
              <w:t>03</w:t>
            </w:r>
          </w:p>
          <w:p w:rsidR="007F1682" w:rsidRPr="001C4DEE" w:rsidRDefault="007F1682" w:rsidP="005D4564">
            <w:pPr>
              <w:jc w:val="center"/>
              <w:rPr>
                <w:rFonts w:ascii="Arial Narrow" w:hAnsi="Arial Narrow" w:cs="Arial"/>
                <w:lang w:val="es-ES_tradnl"/>
              </w:rPr>
            </w:pPr>
          </w:p>
        </w:tc>
        <w:tc>
          <w:tcPr>
            <w:tcW w:w="998" w:type="pct"/>
            <w:tcBorders>
              <w:right w:val="single" w:sz="4" w:space="0" w:color="auto"/>
            </w:tcBorders>
            <w:vAlign w:val="center"/>
          </w:tcPr>
          <w:p w:rsidR="007F1682" w:rsidRPr="001C4DEE" w:rsidRDefault="007F1682" w:rsidP="005D4564">
            <w:pPr>
              <w:jc w:val="center"/>
              <w:rPr>
                <w:rFonts w:ascii="Arial Narrow" w:hAnsi="Arial Narrow" w:cs="Arial"/>
                <w:color w:val="000000"/>
                <w:lang w:val="es-ES_tradnl"/>
              </w:rPr>
            </w:pPr>
          </w:p>
          <w:p w:rsidR="007F1682" w:rsidRPr="00F31F93" w:rsidRDefault="007F1682" w:rsidP="005D4564">
            <w:pPr>
              <w:jc w:val="center"/>
              <w:rPr>
                <w:rFonts w:ascii="Arial Narrow" w:hAnsi="Arial Narrow" w:cs="Arial"/>
                <w:color w:val="000000"/>
                <w:sz w:val="10"/>
                <w:lang w:val="es-ES_tradnl"/>
              </w:rPr>
            </w:pPr>
            <w:r w:rsidRPr="00BE316F">
              <w:rPr>
                <w:rFonts w:ascii="Arial Narrow" w:hAnsi="Arial Narrow" w:cs="Arial"/>
                <w:b/>
                <w:color w:val="000000"/>
                <w:lang w:val="es-ES_tradnl"/>
              </w:rPr>
              <w:t xml:space="preserve">Dr. JOSÉ VICENTE GIMENO SENDRA </w:t>
            </w:r>
          </w:p>
          <w:p w:rsidR="007F1682" w:rsidRPr="001C4DEE" w:rsidRDefault="007F1682" w:rsidP="005D4564">
            <w:pPr>
              <w:jc w:val="center"/>
              <w:rPr>
                <w:rFonts w:ascii="Arial Narrow" w:hAnsi="Arial Narrow" w:cs="Arial"/>
                <w:color w:val="000000"/>
                <w:lang w:val="es-ES_tradnl"/>
              </w:rPr>
            </w:pPr>
            <w:r>
              <w:rPr>
                <w:rFonts w:ascii="Arial Narrow" w:hAnsi="Arial Narrow" w:cs="Arial"/>
                <w:color w:val="000000"/>
                <w:lang w:val="es-ES_tradnl"/>
              </w:rPr>
              <w:t>Doctor</w:t>
            </w:r>
            <w:r w:rsidRPr="00BE316F">
              <w:rPr>
                <w:rFonts w:ascii="Arial Narrow" w:hAnsi="Arial Narrow" w:cs="Arial"/>
                <w:color w:val="000000"/>
                <w:lang w:val="es-ES_tradnl"/>
              </w:rPr>
              <w:t xml:space="preserve"> en Derecho por la Universidad de Valencia</w:t>
            </w:r>
          </w:p>
        </w:tc>
        <w:tc>
          <w:tcPr>
            <w:tcW w:w="507" w:type="pct"/>
            <w:vMerge w:val="restart"/>
            <w:tcBorders>
              <w:left w:val="single" w:sz="4" w:space="0" w:color="auto"/>
              <w:right w:val="single" w:sz="4" w:space="0" w:color="auto"/>
            </w:tcBorders>
            <w:vAlign w:val="center"/>
          </w:tcPr>
          <w:p w:rsidR="007F1682" w:rsidRPr="001C4DEE" w:rsidRDefault="007F1682" w:rsidP="005D4564">
            <w:pPr>
              <w:jc w:val="center"/>
              <w:rPr>
                <w:rFonts w:ascii="Arial Narrow" w:hAnsi="Arial Narrow" w:cs="Arial"/>
                <w:color w:val="000000"/>
                <w:lang w:val="es-ES_tradnl"/>
              </w:rPr>
            </w:pPr>
            <w:r w:rsidRPr="001C4DEE">
              <w:rPr>
                <w:rFonts w:ascii="Arial Narrow" w:hAnsi="Arial Narrow" w:cs="Arial"/>
                <w:color w:val="000000"/>
                <w:lang w:val="es-ES_tradnl"/>
              </w:rPr>
              <w:t>Presencial</w:t>
            </w:r>
          </w:p>
        </w:tc>
        <w:tc>
          <w:tcPr>
            <w:tcW w:w="797" w:type="pct"/>
            <w:vMerge w:val="restart"/>
            <w:tcBorders>
              <w:top w:val="single" w:sz="4" w:space="0" w:color="auto"/>
              <w:left w:val="single" w:sz="4" w:space="0" w:color="auto"/>
              <w:right w:val="single" w:sz="4" w:space="0" w:color="auto"/>
            </w:tcBorders>
            <w:vAlign w:val="center"/>
          </w:tcPr>
          <w:p w:rsidR="007F1682" w:rsidRPr="00E42B01" w:rsidRDefault="007F1682" w:rsidP="00E42B01">
            <w:pPr>
              <w:jc w:val="center"/>
              <w:rPr>
                <w:rFonts w:ascii="Arial Narrow" w:hAnsi="Arial Narrow" w:cs="Arial"/>
                <w:b/>
                <w:color w:val="000000"/>
                <w:lang w:val="es-ES_tradnl"/>
              </w:rPr>
            </w:pPr>
            <w:r w:rsidRPr="00E42B01">
              <w:rPr>
                <w:rFonts w:ascii="Arial Narrow" w:hAnsi="Arial Narrow" w:cs="Arial"/>
                <w:b/>
                <w:color w:val="000000"/>
                <w:lang w:val="es-ES_tradnl"/>
              </w:rPr>
              <w:t>Auditorio</w:t>
            </w:r>
            <w:r>
              <w:rPr>
                <w:rFonts w:ascii="Arial Narrow" w:hAnsi="Arial Narrow" w:cs="Arial"/>
                <w:b/>
                <w:color w:val="000000"/>
                <w:lang w:val="es-ES_tradnl"/>
              </w:rPr>
              <w:t> </w:t>
            </w:r>
            <w:r w:rsidRPr="00E42B01">
              <w:rPr>
                <w:rFonts w:ascii="Arial Narrow" w:hAnsi="Arial Narrow" w:cs="Arial"/>
                <w:b/>
                <w:color w:val="000000"/>
                <w:lang w:val="es-ES_tradnl"/>
              </w:rPr>
              <w:t>Sala de Capacitación de la Corte Superior de Justicia de Cajamarca</w:t>
            </w:r>
          </w:p>
          <w:p w:rsidR="007F1682" w:rsidRPr="00E42B01" w:rsidRDefault="007F1682" w:rsidP="00E42B01">
            <w:pPr>
              <w:jc w:val="center"/>
              <w:rPr>
                <w:rFonts w:ascii="Arial Narrow" w:hAnsi="Arial Narrow" w:cs="Arial"/>
                <w:color w:val="000000"/>
                <w:lang w:val="es-ES_tradnl"/>
              </w:rPr>
            </w:pPr>
            <w:r w:rsidRPr="00E42B01">
              <w:rPr>
                <w:rFonts w:ascii="Arial Narrow" w:hAnsi="Arial Narrow" w:cs="Arial"/>
                <w:color w:val="000000"/>
                <w:lang w:val="es-ES_tradnl"/>
              </w:rPr>
              <w:t>Jr. Comercio 680 - Cajamarca</w:t>
            </w:r>
          </w:p>
          <w:p w:rsidR="007F1682" w:rsidRPr="001C4DEE" w:rsidRDefault="007F1682" w:rsidP="005D4564">
            <w:pPr>
              <w:tabs>
                <w:tab w:val="left" w:pos="791"/>
              </w:tabs>
              <w:ind w:right="71"/>
              <w:jc w:val="center"/>
              <w:rPr>
                <w:rFonts w:ascii="Arial Narrow" w:hAnsi="Arial Narrow" w:cs="Arial"/>
                <w:lang w:val="es-ES_tradnl"/>
              </w:rPr>
            </w:pPr>
          </w:p>
        </w:tc>
        <w:tc>
          <w:tcPr>
            <w:tcW w:w="796" w:type="pct"/>
            <w:vMerge w:val="restart"/>
            <w:tcBorders>
              <w:left w:val="single" w:sz="4" w:space="0" w:color="auto"/>
            </w:tcBorders>
            <w:vAlign w:val="center"/>
          </w:tcPr>
          <w:p w:rsidR="007F1682" w:rsidRDefault="007F1682" w:rsidP="005D4564">
            <w:pPr>
              <w:jc w:val="center"/>
              <w:rPr>
                <w:rFonts w:ascii="Arial Narrow" w:hAnsi="Arial Narrow"/>
                <w:b/>
                <w:lang w:val="es-ES_tradnl"/>
              </w:rPr>
            </w:pPr>
            <w:r>
              <w:rPr>
                <w:rFonts w:ascii="Arial Narrow" w:hAnsi="Arial Narrow"/>
                <w:b/>
                <w:lang w:val="es-ES_tradnl"/>
              </w:rPr>
              <w:t xml:space="preserve">Jueves </w:t>
            </w:r>
          </w:p>
          <w:p w:rsidR="007F1682" w:rsidRPr="00683D4B" w:rsidRDefault="007F1682" w:rsidP="005D4564">
            <w:pPr>
              <w:jc w:val="center"/>
              <w:rPr>
                <w:rFonts w:ascii="Arial Narrow" w:hAnsi="Arial Narrow"/>
                <w:b/>
                <w:lang w:val="es-ES_tradnl"/>
              </w:rPr>
            </w:pPr>
            <w:r>
              <w:rPr>
                <w:rFonts w:ascii="Arial Narrow" w:hAnsi="Arial Narrow"/>
                <w:b/>
                <w:lang w:val="es-ES_tradnl"/>
              </w:rPr>
              <w:t>20</w:t>
            </w:r>
            <w:r w:rsidRPr="00683D4B">
              <w:rPr>
                <w:rFonts w:ascii="Arial Narrow" w:hAnsi="Arial Narrow"/>
                <w:b/>
                <w:lang w:val="es-ES_tradnl"/>
              </w:rPr>
              <w:t xml:space="preserve"> de julio de 2017</w:t>
            </w:r>
          </w:p>
          <w:p w:rsidR="007F1682" w:rsidRPr="001C4DEE" w:rsidRDefault="007F1682" w:rsidP="005D4564">
            <w:pPr>
              <w:jc w:val="center"/>
              <w:rPr>
                <w:rFonts w:ascii="Arial Narrow" w:hAnsi="Arial Narrow"/>
                <w:color w:val="000000"/>
                <w:lang w:val="es-ES_tradnl"/>
              </w:rPr>
            </w:pPr>
            <w:r>
              <w:rPr>
                <w:rFonts w:ascii="Arial Narrow" w:hAnsi="Arial Narrow"/>
                <w:color w:val="000000"/>
                <w:lang w:val="es-ES_tradnl"/>
              </w:rPr>
              <w:t>Horario: 18:00 a 20:15 horas</w:t>
            </w:r>
          </w:p>
          <w:p w:rsidR="007F1682" w:rsidRPr="001C4DEE" w:rsidRDefault="007F1682" w:rsidP="005D4564">
            <w:pPr>
              <w:jc w:val="center"/>
              <w:rPr>
                <w:rFonts w:ascii="Arial Narrow" w:hAnsi="Arial Narrow"/>
                <w:color w:val="000000"/>
                <w:lang w:val="es-ES_tradnl"/>
              </w:rPr>
            </w:pPr>
            <w:r w:rsidRPr="004161C3">
              <w:rPr>
                <w:rFonts w:ascii="Arial Narrow" w:hAnsi="Arial Narrow"/>
                <w:b/>
                <w:color w:val="000000"/>
                <w:lang w:val="es-ES_tradnl"/>
              </w:rPr>
              <w:t>Registro de asistencia:</w:t>
            </w:r>
            <w:r>
              <w:rPr>
                <w:rFonts w:ascii="Arial Narrow" w:hAnsi="Arial Narrow"/>
                <w:color w:val="000000"/>
                <w:lang w:val="es-ES_tradnl"/>
              </w:rPr>
              <w:t xml:space="preserve"> 17:30 a18:00 horas</w:t>
            </w:r>
          </w:p>
          <w:p w:rsidR="007F1682" w:rsidRPr="001C4DEE" w:rsidRDefault="007F1682" w:rsidP="005D4564">
            <w:pPr>
              <w:jc w:val="center"/>
              <w:rPr>
                <w:rFonts w:ascii="Arial Narrow" w:hAnsi="Arial Narrow"/>
                <w:b/>
                <w:color w:val="FF0000"/>
                <w:lang w:val="es-ES_tradnl"/>
              </w:rPr>
            </w:pPr>
          </w:p>
        </w:tc>
      </w:tr>
      <w:tr w:rsidR="007F1682" w:rsidRPr="001C4DEE" w:rsidTr="007F1682">
        <w:trPr>
          <w:trHeight w:val="1317"/>
        </w:trPr>
        <w:tc>
          <w:tcPr>
            <w:tcW w:w="493" w:type="pct"/>
            <w:vMerge/>
            <w:vAlign w:val="center"/>
          </w:tcPr>
          <w:p w:rsidR="007F1682" w:rsidRPr="001C4DEE" w:rsidRDefault="007F1682" w:rsidP="005D4564">
            <w:pPr>
              <w:jc w:val="center"/>
              <w:rPr>
                <w:rFonts w:ascii="Arial Narrow" w:hAnsi="Arial Narrow" w:cs="Arial Narrow"/>
                <w:color w:val="000000"/>
                <w:lang w:val="es-ES_tradnl"/>
              </w:rPr>
            </w:pPr>
          </w:p>
        </w:tc>
        <w:tc>
          <w:tcPr>
            <w:tcW w:w="422" w:type="pct"/>
            <w:vMerge/>
            <w:vAlign w:val="center"/>
          </w:tcPr>
          <w:p w:rsidR="007F1682" w:rsidRPr="001C4DEE" w:rsidRDefault="007F1682" w:rsidP="005D4564">
            <w:pPr>
              <w:jc w:val="center"/>
              <w:rPr>
                <w:rFonts w:ascii="Arial Narrow" w:hAnsi="Arial Narrow" w:cs="Arial Narrow"/>
              </w:rPr>
            </w:pPr>
          </w:p>
        </w:tc>
        <w:tc>
          <w:tcPr>
            <w:tcW w:w="634" w:type="pct"/>
            <w:vAlign w:val="center"/>
          </w:tcPr>
          <w:p w:rsidR="007F1682" w:rsidRPr="00BE316F" w:rsidRDefault="007F1682" w:rsidP="005D4564">
            <w:pPr>
              <w:ind w:left="-70" w:right="-70"/>
              <w:jc w:val="center"/>
              <w:rPr>
                <w:rFonts w:ascii="Arial Narrow" w:hAnsi="Arial Narrow" w:cs="Arial"/>
              </w:rPr>
            </w:pPr>
            <w:r w:rsidRPr="001C4DEE">
              <w:rPr>
                <w:rFonts w:ascii="Arial Narrow" w:hAnsi="Arial Narrow" w:cs="Arial"/>
              </w:rPr>
              <w:t>Conferencia Internacional “</w:t>
            </w:r>
            <w:r w:rsidRPr="00BE316F">
              <w:rPr>
                <w:rFonts w:ascii="Arial Narrow" w:hAnsi="Arial Narrow" w:cs="Arial"/>
              </w:rPr>
              <w:t>El Derecho Procesal ante la Judicialización de los Derechos Económicos, Sociales y</w:t>
            </w:r>
          </w:p>
          <w:p w:rsidR="007F1682" w:rsidRPr="001C4DEE" w:rsidRDefault="007F1682" w:rsidP="005D4564">
            <w:pPr>
              <w:ind w:left="-70" w:right="-70"/>
              <w:jc w:val="center"/>
              <w:rPr>
                <w:rFonts w:ascii="Arial Narrow" w:hAnsi="Arial Narrow" w:cs="Arial"/>
              </w:rPr>
            </w:pPr>
            <w:r w:rsidRPr="00BE316F">
              <w:rPr>
                <w:rFonts w:ascii="Arial Narrow" w:hAnsi="Arial Narrow" w:cs="Arial"/>
              </w:rPr>
              <w:t>Culturales</w:t>
            </w:r>
            <w:r>
              <w:rPr>
                <w:rFonts w:ascii="Arial Narrow" w:hAnsi="Arial Narrow" w:cs="Arial"/>
              </w:rPr>
              <w:t xml:space="preserve">” </w:t>
            </w:r>
          </w:p>
        </w:tc>
        <w:tc>
          <w:tcPr>
            <w:tcW w:w="353" w:type="pct"/>
            <w:vMerge/>
            <w:vAlign w:val="center"/>
          </w:tcPr>
          <w:p w:rsidR="007F1682" w:rsidRPr="001C4DEE" w:rsidRDefault="007F1682" w:rsidP="005D4564">
            <w:pPr>
              <w:jc w:val="center"/>
              <w:rPr>
                <w:rFonts w:ascii="Arial Narrow" w:hAnsi="Arial Narrow"/>
                <w:lang w:val="es-ES_tradnl"/>
              </w:rPr>
            </w:pPr>
          </w:p>
        </w:tc>
        <w:tc>
          <w:tcPr>
            <w:tcW w:w="998" w:type="pct"/>
            <w:tcBorders>
              <w:right w:val="single" w:sz="4" w:space="0" w:color="auto"/>
            </w:tcBorders>
            <w:vAlign w:val="center"/>
          </w:tcPr>
          <w:p w:rsidR="007F1682" w:rsidRDefault="007F1682" w:rsidP="005D4564">
            <w:pPr>
              <w:jc w:val="center"/>
              <w:rPr>
                <w:rFonts w:ascii="Arial Narrow" w:hAnsi="Arial Narrow" w:cs="Arial"/>
                <w:b/>
                <w:color w:val="000000"/>
                <w:lang w:val="es-ES_tradnl"/>
              </w:rPr>
            </w:pPr>
            <w:r w:rsidRPr="00BE316F">
              <w:rPr>
                <w:rFonts w:ascii="Arial Narrow" w:hAnsi="Arial Narrow" w:cs="Arial"/>
                <w:b/>
                <w:color w:val="000000"/>
                <w:lang w:val="es-ES_tradnl"/>
              </w:rPr>
              <w:t>DR. JORDI GIMENO BEVIÁ</w:t>
            </w:r>
          </w:p>
          <w:p w:rsidR="007F1682" w:rsidRPr="00547616" w:rsidRDefault="007F1682" w:rsidP="005D4564">
            <w:pPr>
              <w:jc w:val="center"/>
              <w:rPr>
                <w:rFonts w:ascii="Arial Narrow" w:hAnsi="Arial Narrow" w:cs="Arial"/>
                <w:color w:val="000000"/>
                <w:lang w:val="es-ES_tradnl"/>
              </w:rPr>
            </w:pPr>
            <w:r w:rsidRPr="00547616">
              <w:rPr>
                <w:rFonts w:ascii="Arial Narrow" w:hAnsi="Arial Narrow" w:cs="Arial"/>
                <w:color w:val="000000"/>
                <w:lang w:val="es-ES_tradnl"/>
              </w:rPr>
              <w:t>Profesor de Derecho Procesal de la Universidad Ca</w:t>
            </w:r>
            <w:r>
              <w:rPr>
                <w:rFonts w:ascii="Arial Narrow" w:hAnsi="Arial Narrow" w:cs="Arial"/>
                <w:color w:val="000000"/>
                <w:lang w:val="es-ES_tradnl"/>
              </w:rPr>
              <w:t>stilla La Mancha</w:t>
            </w:r>
          </w:p>
        </w:tc>
        <w:tc>
          <w:tcPr>
            <w:tcW w:w="507" w:type="pct"/>
            <w:vMerge/>
            <w:tcBorders>
              <w:left w:val="single" w:sz="4" w:space="0" w:color="auto"/>
              <w:right w:val="single" w:sz="4" w:space="0" w:color="auto"/>
            </w:tcBorders>
            <w:vAlign w:val="center"/>
          </w:tcPr>
          <w:p w:rsidR="007F1682" w:rsidRPr="001C4DEE" w:rsidRDefault="007F1682" w:rsidP="005D4564">
            <w:pPr>
              <w:jc w:val="center"/>
              <w:rPr>
                <w:rFonts w:ascii="Arial Narrow" w:hAnsi="Arial Narrow" w:cs="Arial"/>
                <w:color w:val="000000"/>
                <w:lang w:val="es-ES_tradnl"/>
              </w:rPr>
            </w:pPr>
          </w:p>
        </w:tc>
        <w:tc>
          <w:tcPr>
            <w:tcW w:w="797" w:type="pct"/>
            <w:vMerge/>
            <w:tcBorders>
              <w:left w:val="single" w:sz="4" w:space="0" w:color="auto"/>
              <w:right w:val="single" w:sz="4" w:space="0" w:color="auto"/>
            </w:tcBorders>
            <w:vAlign w:val="center"/>
          </w:tcPr>
          <w:p w:rsidR="007F1682" w:rsidRDefault="007F1682" w:rsidP="005D4564">
            <w:pPr>
              <w:tabs>
                <w:tab w:val="left" w:pos="791"/>
              </w:tabs>
              <w:ind w:right="71"/>
              <w:jc w:val="center"/>
              <w:rPr>
                <w:rFonts w:ascii="Arial Narrow" w:hAnsi="Arial Narrow" w:cs="Arial"/>
                <w:b/>
                <w:lang w:val="es-ES_tradnl"/>
              </w:rPr>
            </w:pPr>
          </w:p>
        </w:tc>
        <w:tc>
          <w:tcPr>
            <w:tcW w:w="796" w:type="pct"/>
            <w:vMerge/>
            <w:tcBorders>
              <w:left w:val="single" w:sz="4" w:space="0" w:color="auto"/>
            </w:tcBorders>
            <w:vAlign w:val="center"/>
          </w:tcPr>
          <w:p w:rsidR="007F1682" w:rsidRPr="00683D4B" w:rsidRDefault="007F1682" w:rsidP="005D4564">
            <w:pPr>
              <w:jc w:val="center"/>
              <w:rPr>
                <w:rFonts w:ascii="Arial Narrow" w:hAnsi="Arial Narrow"/>
                <w:b/>
                <w:lang w:val="es-ES_tradnl"/>
              </w:rPr>
            </w:pPr>
          </w:p>
        </w:tc>
      </w:tr>
    </w:tbl>
    <w:p w:rsidR="00E42B01" w:rsidRPr="001C4DEE" w:rsidRDefault="00E42B01" w:rsidP="00E42B01">
      <w:pPr>
        <w:ind w:right="-1"/>
        <w:jc w:val="both"/>
        <w:rPr>
          <w:rFonts w:ascii="Arial Narrow" w:hAnsi="Arial Narrow" w:cs="Tahoma"/>
          <w:b/>
        </w:rPr>
      </w:pPr>
    </w:p>
    <w:p w:rsidR="00E42B01" w:rsidRPr="001C4DEE" w:rsidRDefault="00E42B01" w:rsidP="00E42B01">
      <w:pPr>
        <w:numPr>
          <w:ilvl w:val="0"/>
          <w:numId w:val="1"/>
        </w:numPr>
        <w:tabs>
          <w:tab w:val="clear" w:pos="76"/>
          <w:tab w:val="num" w:pos="284"/>
        </w:tabs>
        <w:ind w:right="-1" w:hanging="76"/>
        <w:jc w:val="both"/>
        <w:rPr>
          <w:rFonts w:ascii="Arial Narrow" w:hAnsi="Arial Narrow" w:cs="Tahoma"/>
          <w:b/>
          <w:lang w:val="es-ES_tradnl"/>
        </w:rPr>
      </w:pPr>
      <w:r w:rsidRPr="001C4DEE">
        <w:rPr>
          <w:rFonts w:ascii="Arial Narrow" w:hAnsi="Arial Narrow" w:cs="Tahoma"/>
          <w:b/>
          <w:lang w:val="es-ES_tradnl"/>
        </w:rPr>
        <w:t>VACANTES</w:t>
      </w:r>
    </w:p>
    <w:p w:rsidR="00E42B01" w:rsidRPr="001C4DEE" w:rsidRDefault="007F1682" w:rsidP="00E42B01">
      <w:pPr>
        <w:ind w:left="284" w:right="-1"/>
        <w:jc w:val="both"/>
        <w:rPr>
          <w:rFonts w:ascii="Arial Narrow" w:hAnsi="Arial Narrow" w:cs="Tahoma"/>
          <w:lang w:val="es-ES_tradnl"/>
        </w:rPr>
      </w:pPr>
      <w:r>
        <w:rPr>
          <w:rFonts w:ascii="Arial Narrow" w:hAnsi="Arial Narrow" w:cs="Tahoma"/>
          <w:lang w:val="es-ES_tradnl"/>
        </w:rPr>
        <w:t>50</w:t>
      </w:r>
      <w:r w:rsidR="00E42B01" w:rsidRPr="001C4DEE">
        <w:rPr>
          <w:rFonts w:ascii="Arial Narrow" w:hAnsi="Arial Narrow" w:cs="Tahoma"/>
          <w:lang w:val="es-ES_tradnl"/>
        </w:rPr>
        <w:t>.</w:t>
      </w:r>
    </w:p>
    <w:p w:rsidR="00E42B01" w:rsidRDefault="00E42B01" w:rsidP="00E42B01">
      <w:pPr>
        <w:ind w:left="76" w:right="-1"/>
        <w:jc w:val="both"/>
        <w:rPr>
          <w:rFonts w:ascii="Arial Narrow" w:hAnsi="Arial Narrow" w:cs="Tahoma"/>
          <w:b/>
          <w:lang w:val="es-ES_tradnl"/>
        </w:rPr>
      </w:pPr>
    </w:p>
    <w:p w:rsidR="00E42B01" w:rsidRPr="001C4DEE" w:rsidRDefault="00E42B01" w:rsidP="00E42B01">
      <w:pPr>
        <w:ind w:left="284" w:right="-1" w:hanging="284"/>
        <w:jc w:val="both"/>
        <w:rPr>
          <w:rFonts w:ascii="Arial Narrow" w:hAnsi="Arial Narrow" w:cs="Tahoma"/>
          <w:b/>
        </w:rPr>
      </w:pPr>
      <w:r>
        <w:rPr>
          <w:rFonts w:ascii="Arial Narrow" w:hAnsi="Arial Narrow" w:cs="Tahoma"/>
          <w:b/>
        </w:rPr>
        <w:t>3</w:t>
      </w:r>
      <w:r w:rsidRPr="001C4DEE">
        <w:rPr>
          <w:rFonts w:ascii="Arial Narrow" w:hAnsi="Arial Narrow" w:cs="Tahoma"/>
          <w:b/>
        </w:rPr>
        <w:t xml:space="preserve">. </w:t>
      </w:r>
      <w:r w:rsidRPr="001C4DEE">
        <w:rPr>
          <w:rFonts w:ascii="Arial Narrow" w:hAnsi="Arial Narrow" w:cs="Tahoma"/>
          <w:b/>
        </w:rPr>
        <w:tab/>
        <w:t>PERFIL DEL POSTULANTE</w:t>
      </w:r>
    </w:p>
    <w:p w:rsidR="00E42B01" w:rsidRPr="001C4DEE" w:rsidRDefault="00E42B01" w:rsidP="00E42B01">
      <w:pPr>
        <w:numPr>
          <w:ilvl w:val="1"/>
          <w:numId w:val="2"/>
        </w:numPr>
        <w:tabs>
          <w:tab w:val="clear" w:pos="360"/>
        </w:tabs>
        <w:ind w:firstLine="0"/>
        <w:jc w:val="both"/>
        <w:rPr>
          <w:rFonts w:ascii="Arial Narrow" w:hAnsi="Arial Narrow" w:cs="Arial Narrow"/>
        </w:rPr>
      </w:pPr>
      <w:r w:rsidRPr="001C4DEE">
        <w:rPr>
          <w:rFonts w:ascii="Arial Narrow" w:hAnsi="Arial Narrow" w:cs="Arial Narrow"/>
        </w:rPr>
        <w:t xml:space="preserve">Magistrados y auxiliares de justicia en ejercicio del Poder Judicial y Ministerio Público (se dará trato preferente a </w:t>
      </w:r>
      <w:r w:rsidRPr="001C4DEE">
        <w:rPr>
          <w:rFonts w:ascii="Arial Narrow" w:hAnsi="Arial Narrow" w:cs="Arial Narrow"/>
          <w:bCs/>
        </w:rPr>
        <w:t xml:space="preserve">magistrados titulares). </w:t>
      </w:r>
    </w:p>
    <w:p w:rsidR="00E42B01" w:rsidRDefault="00E42B01" w:rsidP="00E42B01">
      <w:pPr>
        <w:numPr>
          <w:ilvl w:val="1"/>
          <w:numId w:val="2"/>
        </w:numPr>
        <w:tabs>
          <w:tab w:val="clear" w:pos="360"/>
        </w:tabs>
        <w:ind w:firstLine="0"/>
        <w:jc w:val="both"/>
        <w:rPr>
          <w:rFonts w:ascii="Arial Narrow" w:hAnsi="Arial Narrow" w:cs="Arial Narrow"/>
        </w:rPr>
      </w:pPr>
      <w:r w:rsidRPr="003131DD">
        <w:rPr>
          <w:rFonts w:ascii="Arial Narrow" w:hAnsi="Arial Narrow" w:cs="Arial Narrow"/>
        </w:rPr>
        <w:t>Especialidad: Todas</w:t>
      </w:r>
    </w:p>
    <w:p w:rsidR="00E42B01" w:rsidRPr="003131DD" w:rsidRDefault="00E42B01" w:rsidP="00E42B01">
      <w:pPr>
        <w:ind w:left="360"/>
        <w:jc w:val="both"/>
        <w:rPr>
          <w:rFonts w:ascii="Arial Narrow" w:hAnsi="Arial Narrow" w:cs="Arial Narrow"/>
        </w:rPr>
      </w:pPr>
    </w:p>
    <w:p w:rsidR="00E42B01" w:rsidRPr="001C4DEE" w:rsidRDefault="00E42B01" w:rsidP="00E42B01">
      <w:pPr>
        <w:ind w:right="-1"/>
        <w:jc w:val="both"/>
        <w:rPr>
          <w:rFonts w:ascii="Arial Narrow" w:hAnsi="Arial Narrow" w:cs="Arial Narrow"/>
          <w:b/>
        </w:rPr>
      </w:pPr>
      <w:r>
        <w:rPr>
          <w:rFonts w:ascii="Arial Narrow" w:hAnsi="Arial Narrow" w:cs="Arial Narrow"/>
          <w:b/>
        </w:rPr>
        <w:t>4</w:t>
      </w:r>
      <w:r w:rsidRPr="001C4DEE">
        <w:rPr>
          <w:rFonts w:ascii="Arial Narrow" w:hAnsi="Arial Narrow" w:cs="Arial Narrow"/>
          <w:b/>
        </w:rPr>
        <w:t>. REQUISITOS DEL POSTULANTE</w:t>
      </w:r>
    </w:p>
    <w:p w:rsidR="00E42B01" w:rsidRPr="001C4DEE" w:rsidRDefault="00E42B01" w:rsidP="00E42B01">
      <w:pPr>
        <w:numPr>
          <w:ilvl w:val="0"/>
          <w:numId w:val="3"/>
        </w:numPr>
        <w:ind w:left="644"/>
        <w:jc w:val="both"/>
        <w:rPr>
          <w:rFonts w:ascii="Arial Narrow" w:hAnsi="Arial Narrow" w:cs="Arial Narrow"/>
        </w:rPr>
      </w:pPr>
      <w:r w:rsidRPr="001C4DEE">
        <w:rPr>
          <w:rFonts w:ascii="Arial Narrow" w:hAnsi="Arial Narrow" w:cs="Arial Narrow"/>
        </w:rPr>
        <w:t>Distrito judicial en el que ejerce funciones</w:t>
      </w:r>
      <w:r w:rsidRPr="001C4DEE">
        <w:rPr>
          <w:rFonts w:ascii="Arial Narrow" w:hAnsi="Arial Narrow" w:cs="Arial Narrow"/>
          <w:b/>
        </w:rPr>
        <w:t xml:space="preserve">: </w:t>
      </w:r>
      <w:r w:rsidRPr="001C4DEE">
        <w:rPr>
          <w:rFonts w:ascii="Arial Narrow" w:hAnsi="Arial Narrow" w:cs="Arial Narrow"/>
        </w:rPr>
        <w:t>No es limitante para la convocatoria</w:t>
      </w:r>
    </w:p>
    <w:p w:rsidR="00E42B01" w:rsidRPr="001C4DEE" w:rsidRDefault="00E42B01" w:rsidP="00E42B01">
      <w:pPr>
        <w:numPr>
          <w:ilvl w:val="0"/>
          <w:numId w:val="3"/>
        </w:numPr>
        <w:ind w:left="644"/>
        <w:jc w:val="both"/>
        <w:rPr>
          <w:rFonts w:ascii="Arial Narrow" w:hAnsi="Arial Narrow" w:cs="Arial Narrow"/>
        </w:rPr>
      </w:pPr>
      <w:r w:rsidRPr="001C4DEE">
        <w:rPr>
          <w:rFonts w:ascii="Arial Narrow" w:hAnsi="Arial Narrow" w:cs="Arial Narrow"/>
        </w:rPr>
        <w:t>Disponibilidad para asistir al íntegro de la  sesión presencial</w:t>
      </w:r>
    </w:p>
    <w:p w:rsidR="00E42B01" w:rsidRPr="001C4DEE" w:rsidRDefault="00E42B01" w:rsidP="00E42B01">
      <w:pPr>
        <w:numPr>
          <w:ilvl w:val="0"/>
          <w:numId w:val="3"/>
        </w:numPr>
        <w:ind w:left="644"/>
        <w:jc w:val="both"/>
        <w:rPr>
          <w:rFonts w:ascii="Arial Narrow" w:hAnsi="Arial Narrow" w:cs="Arial Narrow"/>
        </w:rPr>
      </w:pPr>
      <w:r w:rsidRPr="001C4DEE">
        <w:rPr>
          <w:rFonts w:ascii="Arial Narrow" w:hAnsi="Arial Narrow" w:cs="Arial Narrow"/>
        </w:rPr>
        <w:t>No haber sido sancionado con impedimento de inscripción a las actividades académicas (Reglamento del Régimen de Estudios).</w:t>
      </w:r>
    </w:p>
    <w:p w:rsidR="00E42B01" w:rsidRDefault="00E42B01" w:rsidP="00E42B01">
      <w:pPr>
        <w:numPr>
          <w:ilvl w:val="0"/>
          <w:numId w:val="3"/>
        </w:numPr>
        <w:ind w:left="644"/>
        <w:jc w:val="both"/>
        <w:rPr>
          <w:rFonts w:ascii="Arial Narrow" w:hAnsi="Arial Narrow" w:cs="Arial Narrow"/>
        </w:rPr>
      </w:pPr>
      <w:r w:rsidRPr="001C4DEE">
        <w:rPr>
          <w:rFonts w:ascii="Arial Narrow" w:hAnsi="Arial Narrow" w:cs="Arial Narrow"/>
        </w:rPr>
        <w:t xml:space="preserve">Tendrá trato preferente quien no haya sido beneficiario de capacitación por la Academia de la Magistratura hace más de un año y/o quien no haya sido susceptible de sanción de amonestación escrita o separación de la actividad académica. </w:t>
      </w:r>
    </w:p>
    <w:p w:rsidR="00E42B01" w:rsidRPr="001C4DEE" w:rsidRDefault="00E42B01" w:rsidP="007F1682">
      <w:pPr>
        <w:jc w:val="both"/>
        <w:rPr>
          <w:rFonts w:ascii="Arial Narrow" w:hAnsi="Arial Narrow" w:cs="Arial Narrow"/>
        </w:rPr>
      </w:pPr>
    </w:p>
    <w:p w:rsidR="00E42B01" w:rsidRPr="001C4DEE" w:rsidRDefault="00E42B01" w:rsidP="00E42B01">
      <w:pPr>
        <w:pStyle w:val="Textoindependiente"/>
        <w:ind w:left="284" w:right="-1" w:hanging="284"/>
        <w:jc w:val="both"/>
        <w:rPr>
          <w:rFonts w:ascii="Arial Narrow" w:hAnsi="Arial Narrow" w:cs="Tahoma"/>
          <w:b/>
          <w:bCs/>
          <w:sz w:val="20"/>
        </w:rPr>
      </w:pPr>
      <w:r>
        <w:rPr>
          <w:rFonts w:ascii="Arial Narrow" w:hAnsi="Arial Narrow" w:cs="Tahoma"/>
          <w:b/>
          <w:bCs/>
          <w:sz w:val="20"/>
        </w:rPr>
        <w:t>5</w:t>
      </w:r>
      <w:r w:rsidRPr="001C4DEE">
        <w:rPr>
          <w:rFonts w:ascii="Arial Narrow" w:hAnsi="Arial Narrow" w:cs="Tahoma"/>
          <w:b/>
          <w:bCs/>
          <w:sz w:val="20"/>
        </w:rPr>
        <w:t>.    CALENDARIO DE INSCRIPCIÓN y ADMISIÓN</w:t>
      </w:r>
    </w:p>
    <w:p w:rsidR="00E42B01" w:rsidRPr="001C4DEE" w:rsidRDefault="00E42B01" w:rsidP="00E42B01">
      <w:pPr>
        <w:pStyle w:val="Textoindependiente"/>
        <w:ind w:right="-1" w:firstLine="284"/>
        <w:jc w:val="both"/>
        <w:rPr>
          <w:rFonts w:ascii="Arial Narrow" w:hAnsi="Arial Narrow" w:cs="Tahoma"/>
          <w:bCs/>
          <w:sz w:val="20"/>
        </w:rPr>
      </w:pPr>
      <w:r w:rsidRPr="001C4DEE">
        <w:rPr>
          <w:rFonts w:ascii="Arial Narrow" w:hAnsi="Arial Narrow" w:cs="Tahoma"/>
          <w:bCs/>
          <w:sz w:val="20"/>
        </w:rPr>
        <w:t>Para la inscripción el interesado llenará el formato correspondiente, el que tiene carácter de declaración jurada:</w:t>
      </w:r>
    </w:p>
    <w:p w:rsidR="00E42B01" w:rsidRPr="001C4DEE" w:rsidRDefault="00E42B01" w:rsidP="00E42B01">
      <w:pPr>
        <w:pStyle w:val="Textoindependiente"/>
        <w:ind w:right="-1"/>
        <w:jc w:val="both"/>
        <w:rPr>
          <w:rFonts w:ascii="Arial Narrow" w:hAnsi="Arial Narrow" w:cs="Tahoma"/>
          <w:b/>
          <w:bCs/>
          <w:sz w:val="20"/>
        </w:rPr>
      </w:pPr>
    </w:p>
    <w:tbl>
      <w:tblPr>
        <w:tblW w:w="4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2186"/>
      </w:tblGrid>
      <w:tr w:rsidR="00E42B01" w:rsidRPr="001C4DEE" w:rsidTr="005D4564">
        <w:trPr>
          <w:trHeight w:val="255"/>
          <w:jc w:val="center"/>
        </w:trPr>
        <w:tc>
          <w:tcPr>
            <w:tcW w:w="2773" w:type="dxa"/>
            <w:shd w:val="clear" w:color="auto" w:fill="F3F3F3"/>
            <w:vAlign w:val="center"/>
          </w:tcPr>
          <w:p w:rsidR="00E42B01" w:rsidRPr="001C4DEE" w:rsidRDefault="00E42B01" w:rsidP="005D4564">
            <w:pPr>
              <w:ind w:right="-108"/>
              <w:jc w:val="center"/>
              <w:rPr>
                <w:rFonts w:ascii="Arial Narrow" w:hAnsi="Arial Narrow" w:cs="Tahoma"/>
                <w:b/>
              </w:rPr>
            </w:pPr>
            <w:r w:rsidRPr="001C4DEE">
              <w:rPr>
                <w:rFonts w:ascii="Arial Narrow" w:hAnsi="Arial Narrow" w:cs="Tahoma"/>
                <w:b/>
              </w:rPr>
              <w:t>Inscripción</w:t>
            </w:r>
          </w:p>
        </w:tc>
        <w:tc>
          <w:tcPr>
            <w:tcW w:w="2186" w:type="dxa"/>
            <w:shd w:val="clear" w:color="auto" w:fill="F3F3F3"/>
            <w:vAlign w:val="center"/>
          </w:tcPr>
          <w:p w:rsidR="00E42B01" w:rsidRPr="001C4DEE" w:rsidRDefault="00E42B01" w:rsidP="005D4564">
            <w:pPr>
              <w:ind w:right="-108"/>
              <w:jc w:val="center"/>
              <w:rPr>
                <w:rFonts w:ascii="Arial Narrow" w:hAnsi="Arial Narrow" w:cs="Tahoma"/>
                <w:b/>
              </w:rPr>
            </w:pPr>
            <w:r w:rsidRPr="001C4DEE">
              <w:rPr>
                <w:rFonts w:ascii="Arial Narrow" w:hAnsi="Arial Narrow" w:cs="Tahoma"/>
                <w:b/>
              </w:rPr>
              <w:t>Publicación de admitidos</w:t>
            </w:r>
          </w:p>
        </w:tc>
      </w:tr>
      <w:tr w:rsidR="00E42B01" w:rsidRPr="001C4DEE" w:rsidTr="005D4564">
        <w:trPr>
          <w:trHeight w:val="129"/>
          <w:jc w:val="center"/>
        </w:trPr>
        <w:tc>
          <w:tcPr>
            <w:tcW w:w="2773" w:type="dxa"/>
            <w:vAlign w:val="center"/>
          </w:tcPr>
          <w:p w:rsidR="00E42B01" w:rsidRPr="001C4DEE" w:rsidRDefault="00E42B01" w:rsidP="005D4564">
            <w:pPr>
              <w:ind w:right="-108"/>
              <w:jc w:val="center"/>
              <w:rPr>
                <w:rFonts w:ascii="Arial Narrow" w:hAnsi="Arial Narrow" w:cs="Tahoma"/>
                <w:highlight w:val="green"/>
              </w:rPr>
            </w:pPr>
            <w:r w:rsidRPr="001C4DEE">
              <w:rPr>
                <w:rFonts w:ascii="Arial Narrow" w:hAnsi="Arial Narrow" w:cs="Tahoma"/>
              </w:rPr>
              <w:t>Hasta el 1</w:t>
            </w:r>
            <w:r w:rsidR="007F1682">
              <w:rPr>
                <w:rFonts w:ascii="Arial Narrow" w:hAnsi="Arial Narrow" w:cs="Tahoma"/>
              </w:rPr>
              <w:t>8</w:t>
            </w:r>
            <w:r w:rsidRPr="001C4DEE">
              <w:rPr>
                <w:rFonts w:ascii="Arial Narrow" w:hAnsi="Arial Narrow" w:cs="Tahoma"/>
              </w:rPr>
              <w:t xml:space="preserve"> de Julio</w:t>
            </w:r>
          </w:p>
        </w:tc>
        <w:tc>
          <w:tcPr>
            <w:tcW w:w="2186" w:type="dxa"/>
            <w:vAlign w:val="center"/>
          </w:tcPr>
          <w:p w:rsidR="00E42B01" w:rsidRPr="001C4DEE" w:rsidRDefault="007F1682" w:rsidP="005D4564">
            <w:pPr>
              <w:ind w:left="-108" w:right="-108"/>
              <w:jc w:val="center"/>
              <w:rPr>
                <w:rFonts w:ascii="Arial Narrow" w:hAnsi="Arial Narrow" w:cs="Tahoma"/>
                <w:highlight w:val="green"/>
              </w:rPr>
            </w:pPr>
            <w:r>
              <w:rPr>
                <w:rFonts w:ascii="Arial Narrow" w:hAnsi="Arial Narrow" w:cs="Tahoma"/>
              </w:rPr>
              <w:t>19</w:t>
            </w:r>
            <w:r w:rsidR="00E42B01" w:rsidRPr="001C4DEE">
              <w:rPr>
                <w:rFonts w:ascii="Arial Narrow" w:hAnsi="Arial Narrow" w:cs="Tahoma"/>
              </w:rPr>
              <w:t xml:space="preserve"> de Julio</w:t>
            </w:r>
          </w:p>
        </w:tc>
      </w:tr>
    </w:tbl>
    <w:p w:rsidR="00E42B01" w:rsidRPr="001C4DEE" w:rsidRDefault="00E42B01" w:rsidP="00E42B01">
      <w:pPr>
        <w:pStyle w:val="Textoindependiente"/>
        <w:ind w:right="-370"/>
        <w:rPr>
          <w:rFonts w:ascii="Arial Narrow" w:hAnsi="Arial Narrow" w:cs="Tahoma"/>
          <w:b/>
          <w:bCs/>
          <w:sz w:val="20"/>
        </w:rPr>
      </w:pPr>
      <w:r w:rsidRPr="001C4DEE">
        <w:rPr>
          <w:rFonts w:ascii="Arial Narrow" w:hAnsi="Arial Narrow" w:cs="Tahoma"/>
          <w:b/>
          <w:bCs/>
          <w:sz w:val="20"/>
        </w:rPr>
        <w:t xml:space="preserve">                                                                           </w:t>
      </w:r>
    </w:p>
    <w:p w:rsidR="00E42B01" w:rsidRDefault="00E42B01" w:rsidP="00E42B01">
      <w:pPr>
        <w:pStyle w:val="Textoindependiente"/>
        <w:ind w:right="-370"/>
        <w:rPr>
          <w:rFonts w:ascii="Arial Narrow" w:hAnsi="Arial Narrow" w:cs="Tahoma"/>
          <w:b/>
          <w:sz w:val="20"/>
        </w:rPr>
      </w:pPr>
    </w:p>
    <w:p w:rsidR="007F1682" w:rsidRDefault="007F1682" w:rsidP="00E42B01">
      <w:pPr>
        <w:pStyle w:val="Textoindependiente"/>
        <w:ind w:right="-370"/>
        <w:rPr>
          <w:rFonts w:ascii="Arial Narrow" w:hAnsi="Arial Narrow" w:cs="Tahoma"/>
          <w:b/>
          <w:sz w:val="20"/>
        </w:rPr>
      </w:pPr>
    </w:p>
    <w:p w:rsidR="007F1682" w:rsidRPr="001C4DEE" w:rsidRDefault="007F1682" w:rsidP="00E42B01">
      <w:pPr>
        <w:pStyle w:val="Textoindependiente"/>
        <w:ind w:right="-370"/>
        <w:rPr>
          <w:rFonts w:ascii="Arial Narrow" w:hAnsi="Arial Narrow" w:cs="Tahoma"/>
          <w:b/>
          <w:sz w:val="20"/>
        </w:rPr>
      </w:pPr>
    </w:p>
    <w:p w:rsidR="00E42B01" w:rsidRPr="001C4DEE" w:rsidRDefault="00E42B01" w:rsidP="00E42B01">
      <w:pPr>
        <w:tabs>
          <w:tab w:val="left" w:pos="284"/>
        </w:tabs>
        <w:ind w:right="-370"/>
        <w:rPr>
          <w:rFonts w:ascii="Arial Narrow" w:eastAsia="Calibri" w:hAnsi="Arial Narrow" w:cs="Tahoma"/>
          <w:b/>
          <w:bCs/>
        </w:rPr>
      </w:pPr>
      <w:r>
        <w:rPr>
          <w:rFonts w:ascii="Arial Narrow" w:eastAsia="Calibri" w:hAnsi="Arial Narrow" w:cs="Tahoma"/>
          <w:b/>
          <w:bCs/>
        </w:rPr>
        <w:lastRenderedPageBreak/>
        <w:t xml:space="preserve">6.   </w:t>
      </w:r>
      <w:r w:rsidRPr="001C4DEE">
        <w:rPr>
          <w:rFonts w:ascii="Arial Narrow" w:eastAsia="Calibri" w:hAnsi="Arial Narrow" w:cs="Tahoma"/>
          <w:b/>
          <w:bCs/>
        </w:rPr>
        <w:t>PROCESO DE ADMISIÓN</w:t>
      </w:r>
    </w:p>
    <w:p w:rsidR="00E42B01" w:rsidRPr="001C4DEE" w:rsidRDefault="00E42B01" w:rsidP="00E42B01">
      <w:pPr>
        <w:tabs>
          <w:tab w:val="left" w:pos="426"/>
        </w:tabs>
        <w:ind w:left="284" w:right="-1"/>
        <w:jc w:val="both"/>
        <w:rPr>
          <w:rFonts w:ascii="Arial Narrow" w:hAnsi="Arial Narrow"/>
          <w:b/>
          <w:u w:val="single"/>
        </w:rPr>
      </w:pPr>
      <w:r w:rsidRPr="001C4DEE">
        <w:rPr>
          <w:rFonts w:ascii="Arial Narrow" w:hAnsi="Arial Narrow"/>
        </w:rPr>
        <w:t>La admisión a la Conferencia está supeditada a la calificación de apto del postulante inscrito, en estricta observancia al perfil establecido. La relación de admitidos se publicará por la página web. El postulante admitido tiene la obligación de participar regularmente en la actividad académica.</w:t>
      </w:r>
      <w:r w:rsidRPr="001C4DEE">
        <w:rPr>
          <w:rFonts w:ascii="Arial Narrow" w:hAnsi="Arial Narrow"/>
          <w:b/>
        </w:rPr>
        <w:t xml:space="preserve"> </w:t>
      </w:r>
      <w:r w:rsidRPr="001C4DEE">
        <w:rPr>
          <w:rFonts w:ascii="Arial Narrow" w:hAnsi="Arial Narrow"/>
          <w:b/>
          <w:u w:val="single"/>
        </w:rPr>
        <w:t>Conforme al Reglamento Vigente no procede el retiro de Conferencias.</w:t>
      </w:r>
    </w:p>
    <w:p w:rsidR="00E42B01" w:rsidRPr="001C4DEE" w:rsidRDefault="00E42B01" w:rsidP="00E42B01">
      <w:pPr>
        <w:tabs>
          <w:tab w:val="left" w:pos="426"/>
        </w:tabs>
        <w:ind w:left="284" w:right="-1"/>
        <w:jc w:val="both"/>
        <w:rPr>
          <w:rFonts w:ascii="Arial Narrow" w:hAnsi="Arial Narrow"/>
          <w:b/>
          <w:u w:val="single"/>
        </w:rPr>
      </w:pPr>
    </w:p>
    <w:p w:rsidR="00E42B01" w:rsidRPr="00681C65" w:rsidRDefault="00E42B01" w:rsidP="00E42B01">
      <w:pPr>
        <w:numPr>
          <w:ilvl w:val="0"/>
          <w:numId w:val="4"/>
        </w:numPr>
        <w:ind w:left="284" w:right="-370"/>
        <w:rPr>
          <w:rFonts w:ascii="Arial Narrow" w:eastAsia="Calibri" w:hAnsi="Arial Narrow" w:cs="Tahoma"/>
          <w:b/>
          <w:bCs/>
        </w:rPr>
      </w:pPr>
      <w:r w:rsidRPr="00681C65">
        <w:rPr>
          <w:rFonts w:ascii="Arial Narrow" w:eastAsia="Calibri" w:hAnsi="Arial Narrow" w:cs="Tahoma"/>
          <w:b/>
          <w:bCs/>
        </w:rPr>
        <w:t>DERECHOS ACADÉMICOS</w:t>
      </w:r>
    </w:p>
    <w:p w:rsidR="00E42B01" w:rsidRPr="00681C65" w:rsidRDefault="00E42B01" w:rsidP="00E42B01">
      <w:pPr>
        <w:ind w:left="360" w:right="-370"/>
        <w:rPr>
          <w:rFonts w:ascii="Arial Narrow" w:eastAsia="Calibri" w:hAnsi="Arial Narrow" w:cs="Tahoma"/>
          <w:b/>
          <w:bCs/>
        </w:rPr>
      </w:pPr>
    </w:p>
    <w:p w:rsidR="00E42B01" w:rsidRPr="00681C65" w:rsidRDefault="00E42B01" w:rsidP="00E42B01">
      <w:pPr>
        <w:ind w:left="360" w:right="-370"/>
        <w:rPr>
          <w:rFonts w:ascii="Arial Narrow" w:eastAsia="Calibri" w:hAnsi="Arial Narrow" w:cs="Tahoma"/>
          <w:b/>
          <w:bCs/>
        </w:rPr>
      </w:pPr>
      <w:r w:rsidRPr="00CD08F0">
        <w:rPr>
          <w:rFonts w:ascii="Arial Narrow" w:eastAsia="Calibri" w:hAnsi="Arial Narrow" w:cs="Tahoma"/>
          <w:b/>
          <w:bCs/>
        </w:rPr>
        <w:t>GRATUITO.</w:t>
      </w:r>
    </w:p>
    <w:p w:rsidR="00E42B01" w:rsidRPr="00681C65" w:rsidRDefault="00E42B01" w:rsidP="00E42B01">
      <w:pPr>
        <w:ind w:left="360" w:right="-370"/>
        <w:rPr>
          <w:rFonts w:ascii="Arial Narrow" w:eastAsia="Calibri" w:hAnsi="Arial Narrow" w:cs="Tahoma"/>
          <w:b/>
          <w:bCs/>
        </w:rPr>
      </w:pPr>
    </w:p>
    <w:p w:rsidR="00E42B01" w:rsidRPr="00681C65" w:rsidRDefault="00E42B01" w:rsidP="00E42B01">
      <w:pPr>
        <w:numPr>
          <w:ilvl w:val="0"/>
          <w:numId w:val="4"/>
        </w:numPr>
        <w:ind w:left="284" w:right="-370"/>
        <w:rPr>
          <w:rFonts w:ascii="Arial Narrow" w:eastAsia="Calibri" w:hAnsi="Arial Narrow" w:cs="Tahoma"/>
          <w:b/>
          <w:bCs/>
        </w:rPr>
      </w:pPr>
      <w:r w:rsidRPr="00047769">
        <w:rPr>
          <w:rFonts w:ascii="Arial Narrow" w:eastAsia="Calibri" w:hAnsi="Arial Narrow" w:cs="Tahoma"/>
          <w:b/>
          <w:bCs/>
        </w:rPr>
        <w:t>CONSTANCIA DE LA ACTIVIDAD ACADÉMICA</w:t>
      </w:r>
    </w:p>
    <w:p w:rsidR="00E42B01" w:rsidRPr="00681C65" w:rsidRDefault="00E42B01" w:rsidP="00E42B01">
      <w:pPr>
        <w:ind w:left="993"/>
        <w:jc w:val="both"/>
        <w:rPr>
          <w:rFonts w:ascii="Arial Narrow" w:eastAsia="Calibri" w:hAnsi="Arial Narrow" w:cs="Tahoma"/>
          <w:b/>
          <w:sz w:val="18"/>
          <w:szCs w:val="18"/>
          <w:lang w:val="es-ES_tradnl"/>
        </w:rPr>
      </w:pPr>
    </w:p>
    <w:p w:rsidR="00E42B01" w:rsidRPr="00681C65" w:rsidRDefault="00E42B01" w:rsidP="00E42B01">
      <w:pPr>
        <w:ind w:left="360" w:right="-370"/>
        <w:rPr>
          <w:rFonts w:ascii="Arial Narrow" w:eastAsia="Calibri" w:hAnsi="Arial Narrow" w:cs="Tahoma"/>
        </w:rPr>
      </w:pPr>
      <w:r>
        <w:rPr>
          <w:rFonts w:ascii="Arial Narrow" w:eastAsia="Calibri" w:hAnsi="Arial Narrow" w:cs="Tahoma"/>
        </w:rPr>
        <w:t xml:space="preserve">Los </w:t>
      </w:r>
      <w:r w:rsidRPr="00681C65">
        <w:rPr>
          <w:rFonts w:ascii="Arial Narrow" w:eastAsia="Calibri" w:hAnsi="Arial Narrow" w:cs="Tahoma"/>
        </w:rPr>
        <w:t xml:space="preserve"> magistrados y auxiliares de justicia, que hayan asistido al 100% de la conferencia, y que deseen una constancia de la actividad académica, deberán, </w:t>
      </w:r>
      <w:r>
        <w:rPr>
          <w:rFonts w:ascii="Arial Narrow" w:eastAsia="Calibri" w:hAnsi="Arial Narrow" w:cs="Tahoma"/>
        </w:rPr>
        <w:t xml:space="preserve">al concluir </w:t>
      </w:r>
      <w:r w:rsidRPr="00681C65">
        <w:rPr>
          <w:rFonts w:ascii="Arial Narrow" w:eastAsia="Calibri" w:hAnsi="Arial Narrow" w:cs="Tahoma"/>
        </w:rPr>
        <w:t xml:space="preserve"> la actividad, solicitarla a través de un FUSA y pagar el monto respectivo  en el Banco de la Nación; para este último ingresarán a la Página Web de la AMAG- link Generación de código de pagos B.N. digitar su número de DNI para obtener su “código de pago”,  debiendo imprimirlo y/o anotarlo, para realizar el pago correspondiente en dicho Banco.</w:t>
      </w:r>
    </w:p>
    <w:p w:rsidR="00E42B01" w:rsidRPr="00681C65" w:rsidRDefault="00E42B01" w:rsidP="00E42B01">
      <w:pPr>
        <w:ind w:left="426"/>
        <w:jc w:val="both"/>
        <w:rPr>
          <w:rFonts w:ascii="Arial Narrow" w:eastAsia="Calibri" w:hAnsi="Arial Narrow" w:cs="Tahoma"/>
        </w:rPr>
      </w:pPr>
      <w:r w:rsidRPr="00681C65">
        <w:rPr>
          <w:rFonts w:ascii="Arial Narrow" w:eastAsia="Calibri" w:hAnsi="Arial Narrow" w:cs="Tahoma"/>
        </w:rPr>
        <w:t xml:space="preserve"> </w:t>
      </w:r>
    </w:p>
    <w:p w:rsidR="00E42B01" w:rsidRPr="00681C65" w:rsidRDefault="00E42B01" w:rsidP="00E42B01">
      <w:pPr>
        <w:ind w:left="426"/>
        <w:jc w:val="both"/>
        <w:rPr>
          <w:rFonts w:ascii="Arial Narrow" w:hAnsi="Arial Narrow" w:cs="Tahoma"/>
          <w:bCs/>
          <w:sz w:val="18"/>
          <w:szCs w:val="18"/>
        </w:rPr>
      </w:pPr>
    </w:p>
    <w:tbl>
      <w:tblPr>
        <w:tblW w:w="4335"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0"/>
        <w:gridCol w:w="4275"/>
        <w:gridCol w:w="1418"/>
      </w:tblGrid>
      <w:tr w:rsidR="00E42B01" w:rsidRPr="00681C65" w:rsidTr="005D4564">
        <w:trPr>
          <w:tblCellSpacing w:w="0" w:type="dxa"/>
          <w:jc w:val="center"/>
        </w:trPr>
        <w:tc>
          <w:tcPr>
            <w:tcW w:w="1600" w:type="pct"/>
            <w:shd w:val="clear" w:color="auto" w:fill="auto"/>
            <w:vAlign w:val="center"/>
          </w:tcPr>
          <w:p w:rsidR="00E42B01" w:rsidRPr="00681C65" w:rsidRDefault="00E42B01" w:rsidP="005D4564">
            <w:pPr>
              <w:ind w:left="426"/>
              <w:jc w:val="both"/>
              <w:rPr>
                <w:rFonts w:ascii="Arial Narrow" w:hAnsi="Arial Narrow" w:cs="Tahoma"/>
                <w:bCs/>
                <w:sz w:val="18"/>
                <w:szCs w:val="18"/>
              </w:rPr>
            </w:pPr>
            <w:r w:rsidRPr="00681C65">
              <w:rPr>
                <w:rFonts w:ascii="Arial Narrow" w:hAnsi="Arial Narrow" w:cs="Tahoma"/>
                <w:bCs/>
                <w:sz w:val="18"/>
                <w:szCs w:val="18"/>
              </w:rPr>
              <w:t>Procedencia</w:t>
            </w:r>
          </w:p>
        </w:tc>
        <w:tc>
          <w:tcPr>
            <w:tcW w:w="2553" w:type="pct"/>
            <w:shd w:val="clear" w:color="auto" w:fill="auto"/>
            <w:vAlign w:val="center"/>
          </w:tcPr>
          <w:p w:rsidR="00E42B01" w:rsidRPr="00681C65" w:rsidRDefault="00E42B01" w:rsidP="005D4564">
            <w:pPr>
              <w:ind w:left="426"/>
              <w:jc w:val="both"/>
              <w:rPr>
                <w:rFonts w:ascii="Arial Narrow" w:hAnsi="Arial Narrow" w:cs="Tahoma"/>
                <w:bCs/>
                <w:sz w:val="18"/>
                <w:szCs w:val="18"/>
              </w:rPr>
            </w:pPr>
            <w:r w:rsidRPr="00681C65">
              <w:rPr>
                <w:rFonts w:ascii="Arial Narrow" w:hAnsi="Arial Narrow" w:cs="Tahoma"/>
                <w:bCs/>
                <w:sz w:val="18"/>
                <w:szCs w:val="18"/>
              </w:rPr>
              <w:t>Descripción</w:t>
            </w:r>
          </w:p>
        </w:tc>
        <w:tc>
          <w:tcPr>
            <w:tcW w:w="847" w:type="pct"/>
            <w:shd w:val="clear" w:color="auto" w:fill="auto"/>
            <w:vAlign w:val="center"/>
          </w:tcPr>
          <w:p w:rsidR="00E42B01" w:rsidRPr="00681C65" w:rsidRDefault="00E42B01" w:rsidP="005D4564">
            <w:pPr>
              <w:ind w:left="426"/>
              <w:jc w:val="both"/>
              <w:rPr>
                <w:rFonts w:ascii="Arial Narrow" w:hAnsi="Arial Narrow" w:cs="Tahoma"/>
                <w:bCs/>
                <w:sz w:val="18"/>
                <w:szCs w:val="18"/>
              </w:rPr>
            </w:pPr>
            <w:r w:rsidRPr="00681C65">
              <w:rPr>
                <w:rFonts w:ascii="Arial Narrow" w:hAnsi="Arial Narrow" w:cs="Tahoma"/>
                <w:bCs/>
                <w:sz w:val="18"/>
                <w:szCs w:val="18"/>
              </w:rPr>
              <w:t>S/.</w:t>
            </w:r>
          </w:p>
        </w:tc>
      </w:tr>
      <w:tr w:rsidR="00E42B01" w:rsidRPr="00681C65" w:rsidTr="005D4564">
        <w:trPr>
          <w:tblCellSpacing w:w="0" w:type="dxa"/>
          <w:jc w:val="center"/>
        </w:trPr>
        <w:tc>
          <w:tcPr>
            <w:tcW w:w="1600" w:type="pct"/>
            <w:shd w:val="clear" w:color="auto" w:fill="auto"/>
            <w:vAlign w:val="center"/>
            <w:hideMark/>
          </w:tcPr>
          <w:p w:rsidR="00E42B01" w:rsidRPr="00681C65" w:rsidRDefault="00E42B01" w:rsidP="005D4564">
            <w:pPr>
              <w:ind w:left="149" w:right="243"/>
              <w:jc w:val="both"/>
              <w:rPr>
                <w:rFonts w:ascii="Arial Narrow" w:hAnsi="Arial Narrow" w:cs="Tahoma"/>
                <w:bCs/>
                <w:sz w:val="18"/>
                <w:szCs w:val="18"/>
              </w:rPr>
            </w:pPr>
            <w:r w:rsidRPr="00681C65">
              <w:rPr>
                <w:rFonts w:ascii="Arial Narrow" w:hAnsi="Arial Narrow" w:cs="Tahoma"/>
                <w:bCs/>
                <w:sz w:val="18"/>
                <w:szCs w:val="18"/>
              </w:rPr>
              <w:t>DIRECCIÓN ACADÉMICA</w:t>
            </w:r>
          </w:p>
        </w:tc>
        <w:tc>
          <w:tcPr>
            <w:tcW w:w="2553" w:type="pct"/>
            <w:shd w:val="clear" w:color="auto" w:fill="auto"/>
            <w:vAlign w:val="center"/>
            <w:hideMark/>
          </w:tcPr>
          <w:p w:rsidR="00E42B01" w:rsidRPr="00681C65" w:rsidRDefault="00E42B01" w:rsidP="005D4564">
            <w:pPr>
              <w:ind w:left="426" w:right="206"/>
              <w:jc w:val="both"/>
              <w:rPr>
                <w:rFonts w:ascii="Arial Narrow" w:hAnsi="Arial Narrow" w:cs="Tahoma"/>
                <w:bCs/>
                <w:sz w:val="18"/>
                <w:szCs w:val="18"/>
              </w:rPr>
            </w:pPr>
            <w:r w:rsidRPr="00681C65">
              <w:rPr>
                <w:rFonts w:ascii="Arial Narrow" w:hAnsi="Arial Narrow" w:cs="Tahoma"/>
                <w:bCs/>
                <w:sz w:val="18"/>
                <w:szCs w:val="18"/>
              </w:rPr>
              <w:t>EXPEDICIÓN DE CONSTANCIA DE ACTIVIDAD ACADÉMICA ACREDITADA O EN EJECUCIÓN DE: DISCENTE, DOCENTE, ESPECIALISTA, TUTOR, ASISTENTE O SIMILARES</w:t>
            </w:r>
          </w:p>
        </w:tc>
        <w:tc>
          <w:tcPr>
            <w:tcW w:w="847" w:type="pct"/>
            <w:shd w:val="clear" w:color="auto" w:fill="auto"/>
            <w:vAlign w:val="center"/>
            <w:hideMark/>
          </w:tcPr>
          <w:p w:rsidR="00E42B01" w:rsidRPr="00681C65" w:rsidRDefault="00E42B01" w:rsidP="00E42B01">
            <w:pPr>
              <w:numPr>
                <w:ilvl w:val="1"/>
                <w:numId w:val="5"/>
              </w:numPr>
              <w:jc w:val="both"/>
              <w:rPr>
                <w:rFonts w:ascii="Arial Narrow" w:hAnsi="Arial Narrow" w:cs="Tahoma"/>
                <w:bCs/>
                <w:sz w:val="18"/>
                <w:szCs w:val="18"/>
              </w:rPr>
            </w:pPr>
          </w:p>
        </w:tc>
      </w:tr>
    </w:tbl>
    <w:p w:rsidR="00E42B01" w:rsidRPr="001C4DEE" w:rsidRDefault="00E42B01" w:rsidP="00E42B01">
      <w:pPr>
        <w:tabs>
          <w:tab w:val="left" w:pos="567"/>
        </w:tabs>
        <w:ind w:right="-1"/>
        <w:jc w:val="both"/>
        <w:rPr>
          <w:rFonts w:ascii="Arial Narrow" w:hAnsi="Arial Narrow" w:cs="Tahoma"/>
          <w:lang w:val="es-ES_tradnl"/>
        </w:rPr>
      </w:pPr>
    </w:p>
    <w:p w:rsidR="00E42B01" w:rsidRDefault="00E42B01" w:rsidP="00E42B01">
      <w:pPr>
        <w:numPr>
          <w:ilvl w:val="0"/>
          <w:numId w:val="4"/>
        </w:numPr>
        <w:ind w:left="284" w:right="-1" w:hanging="284"/>
        <w:jc w:val="both"/>
        <w:rPr>
          <w:rFonts w:ascii="Arial Narrow" w:eastAsia="Calibri" w:hAnsi="Arial Narrow" w:cs="Tahoma"/>
          <w:b/>
        </w:rPr>
      </w:pPr>
      <w:r w:rsidRPr="001C4DEE">
        <w:rPr>
          <w:rFonts w:ascii="Arial Narrow" w:eastAsia="Calibri" w:hAnsi="Arial Narrow" w:cs="Tahoma"/>
          <w:b/>
        </w:rPr>
        <w:t xml:space="preserve">COORDINADOR DE LA ACTIVIDAD: </w:t>
      </w:r>
    </w:p>
    <w:p w:rsidR="00E42B01" w:rsidRPr="001C4DEE" w:rsidRDefault="00E42B01" w:rsidP="00E42B01">
      <w:pPr>
        <w:ind w:left="436" w:right="-1"/>
        <w:jc w:val="both"/>
        <w:rPr>
          <w:rFonts w:ascii="Arial Narrow" w:eastAsia="Calibri" w:hAnsi="Arial Narrow" w:cs="Tahoma"/>
          <w:b/>
        </w:rPr>
      </w:pPr>
    </w:p>
    <w:p w:rsidR="00E42B01" w:rsidRDefault="00E42B01" w:rsidP="00E42B01">
      <w:pPr>
        <w:ind w:left="426" w:right="-370"/>
        <w:rPr>
          <w:rFonts w:ascii="Arial Narrow" w:eastAsia="Calibri" w:hAnsi="Arial Narrow" w:cs="Tahoma"/>
          <w:b/>
          <w:lang w:val="es-PE"/>
        </w:rPr>
      </w:pPr>
      <w:proofErr w:type="spellStart"/>
      <w:r>
        <w:rPr>
          <w:rFonts w:ascii="Arial Narrow" w:eastAsia="Calibri" w:hAnsi="Arial Narrow" w:cs="Tahoma"/>
          <w:b/>
          <w:lang w:val="es-PE"/>
        </w:rPr>
        <w:t>Mag</w:t>
      </w:r>
      <w:proofErr w:type="spellEnd"/>
      <w:r>
        <w:rPr>
          <w:rFonts w:ascii="Arial Narrow" w:eastAsia="Calibri" w:hAnsi="Arial Narrow" w:cs="Tahoma"/>
          <w:b/>
          <w:lang w:val="es-PE"/>
        </w:rPr>
        <w:t xml:space="preserve">. </w:t>
      </w:r>
      <w:r w:rsidRPr="00E42B01">
        <w:rPr>
          <w:rFonts w:ascii="Arial Narrow" w:eastAsia="Calibri" w:hAnsi="Arial Narrow" w:cs="Tahoma"/>
          <w:b/>
          <w:lang w:val="es-PE"/>
        </w:rPr>
        <w:t xml:space="preserve">Gino Valdivia </w:t>
      </w:r>
      <w:r>
        <w:rPr>
          <w:rFonts w:ascii="Arial Narrow" w:eastAsia="Calibri" w:hAnsi="Arial Narrow" w:cs="Tahoma"/>
          <w:b/>
          <w:lang w:val="es-PE"/>
        </w:rPr>
        <w:t>Román</w:t>
      </w:r>
    </w:p>
    <w:p w:rsidR="00E42B01" w:rsidRPr="00AF0ABB" w:rsidRDefault="00E42B01" w:rsidP="00E42B01">
      <w:pPr>
        <w:ind w:left="426" w:right="-370"/>
        <w:rPr>
          <w:rFonts w:ascii="Arial Narrow" w:eastAsia="Calibri" w:hAnsi="Arial Narrow" w:cs="Tahoma"/>
          <w:lang w:val="es-PE"/>
        </w:rPr>
      </w:pPr>
      <w:r w:rsidRPr="00AF0ABB">
        <w:rPr>
          <w:rFonts w:ascii="Arial Narrow" w:eastAsia="Calibri" w:hAnsi="Arial Narrow" w:cs="Tahoma"/>
          <w:lang w:val="es-PE"/>
        </w:rPr>
        <w:t xml:space="preserve">Correo electrónico: </w:t>
      </w:r>
      <w:hyperlink r:id="rId6" w:history="1">
        <w:r w:rsidRPr="00E42B01">
          <w:rPr>
            <w:rStyle w:val="Hipervnculo"/>
            <w:rFonts w:ascii="Arial Narrow" w:hAnsi="Arial Narrow" w:cs="Courier New"/>
            <w:sz w:val="19"/>
            <w:szCs w:val="19"/>
          </w:rPr>
          <w:t>gvaldivia@amag.edu.pe</w:t>
        </w:r>
      </w:hyperlink>
      <w:r>
        <w:rPr>
          <w:rStyle w:val="Hipervnculo"/>
          <w:rFonts w:ascii="Courier New" w:hAnsi="Courier New" w:cs="Courier New"/>
          <w:sz w:val="19"/>
          <w:szCs w:val="19"/>
        </w:rPr>
        <w:t xml:space="preserve"> </w:t>
      </w:r>
      <w:r>
        <w:rPr>
          <w:rFonts w:ascii="Arial Narrow" w:eastAsia="Calibri" w:hAnsi="Arial Narrow" w:cs="Tahoma"/>
          <w:lang w:val="es-PE"/>
        </w:rPr>
        <w:t xml:space="preserve"> </w:t>
      </w:r>
    </w:p>
    <w:p w:rsidR="00E42B01" w:rsidRPr="00E42B01" w:rsidRDefault="00E42B01" w:rsidP="00E42B01">
      <w:pPr>
        <w:ind w:left="426" w:right="-370"/>
        <w:rPr>
          <w:rFonts w:ascii="Arial Narrow" w:eastAsia="Calibri" w:hAnsi="Arial Narrow" w:cs="Tahoma"/>
          <w:lang w:val="es-PE"/>
        </w:rPr>
      </w:pPr>
      <w:proofErr w:type="spellStart"/>
      <w:r w:rsidRPr="00E42B01">
        <w:rPr>
          <w:rFonts w:ascii="Arial Narrow" w:eastAsia="Calibri" w:hAnsi="Arial Narrow" w:cs="Tahoma"/>
          <w:lang w:val="es-PE"/>
        </w:rPr>
        <w:t>Cel</w:t>
      </w:r>
      <w:proofErr w:type="spellEnd"/>
      <w:r w:rsidRPr="00E42B01">
        <w:rPr>
          <w:rFonts w:ascii="Arial Narrow" w:eastAsia="Calibri" w:hAnsi="Arial Narrow" w:cs="Tahoma"/>
          <w:lang w:val="es-PE"/>
        </w:rPr>
        <w:t>:</w:t>
      </w:r>
      <w:r>
        <w:rPr>
          <w:rFonts w:ascii="Arial Narrow" w:eastAsia="Calibri" w:hAnsi="Arial Narrow" w:cs="Tahoma"/>
          <w:lang w:val="es-PE"/>
        </w:rPr>
        <w:t xml:space="preserve"> </w:t>
      </w:r>
      <w:r w:rsidRPr="00E42B01">
        <w:rPr>
          <w:rFonts w:ascii="Arial Narrow" w:eastAsia="Calibri" w:hAnsi="Arial Narrow" w:cs="Tahoma"/>
          <w:lang w:val="es-PE"/>
        </w:rPr>
        <w:t>996515679</w:t>
      </w:r>
    </w:p>
    <w:p w:rsidR="00E42B01" w:rsidRPr="001C4DEE" w:rsidRDefault="00E42B01" w:rsidP="00E42B01">
      <w:pPr>
        <w:ind w:left="426" w:right="-370"/>
        <w:rPr>
          <w:rFonts w:ascii="Arial Narrow" w:eastAsia="Calibri" w:hAnsi="Arial Narrow" w:cs="Tahoma"/>
          <w:b/>
          <w:bCs/>
        </w:rPr>
      </w:pPr>
    </w:p>
    <w:p w:rsidR="00E42B01" w:rsidRPr="001C4DEE" w:rsidRDefault="00E42B01" w:rsidP="00E42B01">
      <w:pPr>
        <w:numPr>
          <w:ilvl w:val="0"/>
          <w:numId w:val="6"/>
        </w:numPr>
        <w:ind w:left="284" w:right="-370" w:hanging="284"/>
        <w:rPr>
          <w:rFonts w:ascii="Arial Narrow" w:hAnsi="Arial Narrow" w:cs="Tahoma"/>
          <w:b/>
        </w:rPr>
      </w:pPr>
      <w:r w:rsidRPr="001C4DEE">
        <w:rPr>
          <w:rFonts w:ascii="Arial Narrow" w:hAnsi="Arial Narrow"/>
          <w:b/>
        </w:rPr>
        <w:t xml:space="preserve">PRECISION IMPORTANTE: </w:t>
      </w:r>
    </w:p>
    <w:p w:rsidR="00E42B01" w:rsidRPr="001C4DEE" w:rsidRDefault="00E42B01" w:rsidP="00E42B01">
      <w:pPr>
        <w:ind w:left="436" w:right="-370"/>
        <w:jc w:val="both"/>
        <w:rPr>
          <w:rFonts w:ascii="Arial Narrow" w:hAnsi="Arial Narrow"/>
        </w:rPr>
      </w:pPr>
      <w:r w:rsidRPr="001C4DEE">
        <w:rPr>
          <w:rFonts w:ascii="Arial Narrow" w:hAnsi="Arial Narrow"/>
        </w:rPr>
        <w:sym w:font="Symbol" w:char="F0B7"/>
      </w:r>
      <w:r w:rsidRPr="001C4DEE">
        <w:rPr>
          <w:rFonts w:ascii="Arial Narrow" w:hAnsi="Arial Narrow"/>
        </w:rPr>
        <w:t xml:space="preserve"> La Academia de la Magistratura no subvencionará los gastos de transporte, hospedaje y alimentación de los participantes en la actividad materia de la presente convocatoria. </w:t>
      </w:r>
    </w:p>
    <w:p w:rsidR="00E42B01" w:rsidRPr="001C4DEE" w:rsidRDefault="00E42B01" w:rsidP="00E42B01">
      <w:pPr>
        <w:ind w:left="436" w:right="-370"/>
        <w:jc w:val="both"/>
        <w:rPr>
          <w:rFonts w:ascii="Arial Narrow" w:hAnsi="Arial Narrow" w:cs="Tahoma"/>
        </w:rPr>
      </w:pPr>
    </w:p>
    <w:p w:rsidR="00E42B01" w:rsidRDefault="00E42B01" w:rsidP="00E42B01">
      <w:pPr>
        <w:ind w:right="-1"/>
        <w:jc w:val="right"/>
        <w:rPr>
          <w:rFonts w:ascii="Arial Narrow" w:eastAsia="Calibri" w:hAnsi="Arial Narrow" w:cs="Tahoma"/>
          <w:b/>
          <w:bCs/>
        </w:rPr>
      </w:pPr>
    </w:p>
    <w:p w:rsidR="00E42B01" w:rsidRPr="001C4DEE" w:rsidRDefault="00E42B01" w:rsidP="00E42B01">
      <w:pPr>
        <w:ind w:right="-1"/>
        <w:jc w:val="right"/>
        <w:rPr>
          <w:rFonts w:ascii="Arial Narrow" w:eastAsia="Calibri" w:hAnsi="Arial Narrow" w:cs="Tahoma"/>
          <w:b/>
          <w:bCs/>
        </w:rPr>
      </w:pPr>
      <w:r>
        <w:rPr>
          <w:rFonts w:ascii="Arial Narrow" w:eastAsia="Calibri" w:hAnsi="Arial Narrow" w:cs="Tahoma"/>
          <w:b/>
          <w:bCs/>
        </w:rPr>
        <w:t>Jul</w:t>
      </w:r>
      <w:r w:rsidRPr="001C4DEE">
        <w:rPr>
          <w:rFonts w:ascii="Arial Narrow" w:eastAsia="Calibri" w:hAnsi="Arial Narrow" w:cs="Tahoma"/>
          <w:b/>
          <w:bCs/>
        </w:rPr>
        <w:t>io de 2017</w:t>
      </w:r>
    </w:p>
    <w:p w:rsidR="00E42B01" w:rsidRDefault="00E42B01" w:rsidP="00E42B01">
      <w:pPr>
        <w:jc w:val="center"/>
        <w:rPr>
          <w:rFonts w:ascii="Arial Narrow" w:eastAsia="Calibri" w:hAnsi="Arial Narrow" w:cs="Tahoma"/>
          <w:b/>
          <w:bCs/>
        </w:rPr>
      </w:pPr>
    </w:p>
    <w:p w:rsidR="00E42B01" w:rsidRDefault="00E42B01" w:rsidP="00E42B01">
      <w:pPr>
        <w:jc w:val="center"/>
        <w:rPr>
          <w:rFonts w:ascii="Arial Narrow" w:eastAsia="Calibri" w:hAnsi="Arial Narrow" w:cs="Tahoma"/>
          <w:b/>
          <w:bCs/>
        </w:rPr>
      </w:pPr>
    </w:p>
    <w:p w:rsidR="00E42B01" w:rsidRDefault="00F14A06" w:rsidP="00E42B01">
      <w:pPr>
        <w:jc w:val="center"/>
        <w:rPr>
          <w:rFonts w:ascii="Arial Narrow" w:eastAsia="Calibri" w:hAnsi="Arial Narrow" w:cs="Tahoma"/>
          <w:b/>
          <w:bCs/>
        </w:rPr>
      </w:pPr>
      <w:r>
        <w:rPr>
          <w:rFonts w:ascii="Arial Narrow" w:eastAsia="Calibri" w:hAnsi="Arial Narrow" w:cs="Tahoma"/>
          <w:b/>
          <w:bCs/>
        </w:rPr>
        <w:t>SEDE CAJAMARCA</w:t>
      </w:r>
    </w:p>
    <w:p w:rsidR="00F14A06" w:rsidRDefault="00F14A06" w:rsidP="00F14A06">
      <w:pPr>
        <w:rPr>
          <w:rFonts w:ascii="Arial Narrow" w:eastAsia="Calibri" w:hAnsi="Arial Narrow" w:cs="Tahoma"/>
          <w:b/>
          <w:bCs/>
        </w:rPr>
      </w:pPr>
    </w:p>
    <w:p w:rsidR="00E42B01" w:rsidRDefault="00E42B01" w:rsidP="00E42B01">
      <w:pPr>
        <w:jc w:val="center"/>
        <w:rPr>
          <w:rFonts w:ascii="Arial Narrow" w:eastAsia="Calibri" w:hAnsi="Arial Narrow" w:cs="Tahoma"/>
          <w:b/>
          <w:bCs/>
        </w:rPr>
      </w:pPr>
    </w:p>
    <w:p w:rsidR="00E42B01" w:rsidRPr="001C4DEE" w:rsidRDefault="00E42B01" w:rsidP="00E42B01">
      <w:pPr>
        <w:jc w:val="center"/>
        <w:rPr>
          <w:rFonts w:ascii="Arial Narrow" w:eastAsia="Calibri" w:hAnsi="Arial Narrow" w:cs="Tahoma"/>
          <w:b/>
          <w:bCs/>
        </w:rPr>
      </w:pPr>
    </w:p>
    <w:p w:rsidR="000D0ACB" w:rsidRDefault="000D0ACB"/>
    <w:sectPr w:rsidR="000D0ACB">
      <w:pgSz w:w="11906" w:h="16838"/>
      <w:pgMar w:top="851" w:right="1134" w:bottom="567" w:left="1134" w:header="624"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3A84"/>
    <w:multiLevelType w:val="hybridMultilevel"/>
    <w:tmpl w:val="2DE0364A"/>
    <w:lvl w:ilvl="0" w:tplc="0C0A000D">
      <w:start w:val="1"/>
      <w:numFmt w:val="bullet"/>
      <w:lvlText w:val=""/>
      <w:lvlJc w:val="left"/>
      <w:pPr>
        <w:ind w:left="720" w:hanging="360"/>
      </w:pPr>
      <w:rPr>
        <w:rFonts w:ascii="Wingdings" w:hAnsi="Wingdings" w:hint="default"/>
        <w:b/>
      </w:rPr>
    </w:lvl>
    <w:lvl w:ilvl="1" w:tplc="280A000D">
      <w:start w:val="1"/>
      <w:numFmt w:val="bullet"/>
      <w:lvlText w:val=""/>
      <w:lvlJc w:val="left"/>
      <w:pPr>
        <w:ind w:left="1440" w:hanging="360"/>
      </w:pPr>
      <w:rPr>
        <w:rFonts w:ascii="Wingdings" w:hAnsi="Wingding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52E779C"/>
    <w:multiLevelType w:val="hybridMultilevel"/>
    <w:tmpl w:val="962C93D2"/>
    <w:lvl w:ilvl="0" w:tplc="280A000F">
      <w:start w:val="7"/>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D633128"/>
    <w:multiLevelType w:val="hybridMultilevel"/>
    <w:tmpl w:val="34A4F7EC"/>
    <w:lvl w:ilvl="0" w:tplc="08F03652">
      <w:start w:val="1"/>
      <w:numFmt w:val="decimal"/>
      <w:lvlText w:val="%1."/>
      <w:lvlJc w:val="left"/>
      <w:pPr>
        <w:tabs>
          <w:tab w:val="num" w:pos="76"/>
        </w:tabs>
        <w:ind w:left="76" w:hanging="360"/>
      </w:pPr>
      <w:rPr>
        <w:rFonts w:ascii="Arial Narrow" w:hAnsi="Arial Narrow" w:cs="Times New Roman" w:hint="default"/>
        <w:b/>
        <w:bCs/>
      </w:rPr>
    </w:lvl>
    <w:lvl w:ilvl="1" w:tplc="BB260F5A">
      <w:numFmt w:val="none"/>
      <w:lvlText w:val=""/>
      <w:lvlJc w:val="left"/>
      <w:pPr>
        <w:tabs>
          <w:tab w:val="num" w:pos="360"/>
        </w:tabs>
      </w:pPr>
      <w:rPr>
        <w:rFonts w:ascii="Times New Roman" w:hAnsi="Times New Roman" w:cs="Times New Roman"/>
      </w:rPr>
    </w:lvl>
    <w:lvl w:ilvl="2" w:tplc="5A8058A8">
      <w:numFmt w:val="none"/>
      <w:lvlText w:val=""/>
      <w:lvlJc w:val="left"/>
      <w:pPr>
        <w:tabs>
          <w:tab w:val="num" w:pos="360"/>
        </w:tabs>
      </w:pPr>
      <w:rPr>
        <w:rFonts w:ascii="Times New Roman" w:hAnsi="Times New Roman" w:cs="Times New Roman"/>
      </w:rPr>
    </w:lvl>
    <w:lvl w:ilvl="3" w:tplc="A30C95E0">
      <w:numFmt w:val="none"/>
      <w:lvlText w:val=""/>
      <w:lvlJc w:val="left"/>
      <w:pPr>
        <w:tabs>
          <w:tab w:val="num" w:pos="360"/>
        </w:tabs>
      </w:pPr>
      <w:rPr>
        <w:rFonts w:ascii="Times New Roman" w:hAnsi="Times New Roman" w:cs="Times New Roman"/>
      </w:rPr>
    </w:lvl>
    <w:lvl w:ilvl="4" w:tplc="2B6062E2">
      <w:numFmt w:val="none"/>
      <w:lvlText w:val=""/>
      <w:lvlJc w:val="left"/>
      <w:pPr>
        <w:tabs>
          <w:tab w:val="num" w:pos="360"/>
        </w:tabs>
      </w:pPr>
      <w:rPr>
        <w:rFonts w:ascii="Times New Roman" w:hAnsi="Times New Roman" w:cs="Times New Roman"/>
      </w:rPr>
    </w:lvl>
    <w:lvl w:ilvl="5" w:tplc="ED789932">
      <w:numFmt w:val="none"/>
      <w:lvlText w:val=""/>
      <w:lvlJc w:val="left"/>
      <w:pPr>
        <w:tabs>
          <w:tab w:val="num" w:pos="360"/>
        </w:tabs>
      </w:pPr>
      <w:rPr>
        <w:rFonts w:ascii="Times New Roman" w:hAnsi="Times New Roman" w:cs="Times New Roman"/>
      </w:rPr>
    </w:lvl>
    <w:lvl w:ilvl="6" w:tplc="B1BC0C62">
      <w:numFmt w:val="none"/>
      <w:lvlText w:val=""/>
      <w:lvlJc w:val="left"/>
      <w:pPr>
        <w:tabs>
          <w:tab w:val="num" w:pos="360"/>
        </w:tabs>
      </w:pPr>
      <w:rPr>
        <w:rFonts w:ascii="Times New Roman" w:hAnsi="Times New Roman" w:cs="Times New Roman"/>
      </w:rPr>
    </w:lvl>
    <w:lvl w:ilvl="7" w:tplc="7C22C418">
      <w:numFmt w:val="none"/>
      <w:lvlText w:val=""/>
      <w:lvlJc w:val="left"/>
      <w:pPr>
        <w:tabs>
          <w:tab w:val="num" w:pos="360"/>
        </w:tabs>
      </w:pPr>
      <w:rPr>
        <w:rFonts w:ascii="Times New Roman" w:hAnsi="Times New Roman" w:cs="Times New Roman"/>
      </w:rPr>
    </w:lvl>
    <w:lvl w:ilvl="8" w:tplc="773A58AE">
      <w:numFmt w:val="none"/>
      <w:lvlText w:val=""/>
      <w:lvlJc w:val="left"/>
      <w:pPr>
        <w:tabs>
          <w:tab w:val="num" w:pos="360"/>
        </w:tabs>
      </w:pPr>
      <w:rPr>
        <w:rFonts w:ascii="Times New Roman" w:hAnsi="Times New Roman" w:cs="Times New Roman"/>
      </w:rPr>
    </w:lvl>
  </w:abstractNum>
  <w:abstractNum w:abstractNumId="3" w15:restartNumberingAfterBreak="0">
    <w:nsid w:val="1D462B12"/>
    <w:multiLevelType w:val="hybridMultilevel"/>
    <w:tmpl w:val="18F85A1E"/>
    <w:lvl w:ilvl="0" w:tplc="96082D92">
      <w:start w:val="1"/>
      <w:numFmt w:val="decimal"/>
      <w:lvlText w:val="%1."/>
      <w:lvlJc w:val="left"/>
      <w:pPr>
        <w:tabs>
          <w:tab w:val="num" w:pos="76"/>
        </w:tabs>
        <w:ind w:left="76" w:hanging="360"/>
      </w:pPr>
      <w:rPr>
        <w:rFonts w:ascii="Times New Roman" w:hAnsi="Times New Roman" w:cs="Times New Roman" w:hint="default"/>
        <w:b/>
        <w:bCs/>
      </w:rPr>
    </w:lvl>
    <w:lvl w:ilvl="1" w:tplc="0C0A000D">
      <w:start w:val="1"/>
      <w:numFmt w:val="bullet"/>
      <w:lvlText w:val=""/>
      <w:lvlJc w:val="left"/>
      <w:pPr>
        <w:tabs>
          <w:tab w:val="num" w:pos="360"/>
        </w:tabs>
        <w:ind w:left="360" w:hanging="360"/>
      </w:pPr>
      <w:rPr>
        <w:rFonts w:ascii="Wingdings" w:hAnsi="Wingdings" w:hint="default"/>
        <w:b/>
      </w:rPr>
    </w:lvl>
    <w:lvl w:ilvl="2" w:tplc="5A8058A8">
      <w:numFmt w:val="none"/>
      <w:lvlText w:val=""/>
      <w:lvlJc w:val="left"/>
      <w:pPr>
        <w:tabs>
          <w:tab w:val="num" w:pos="360"/>
        </w:tabs>
      </w:pPr>
      <w:rPr>
        <w:rFonts w:ascii="Times New Roman" w:hAnsi="Times New Roman" w:cs="Times New Roman"/>
      </w:rPr>
    </w:lvl>
    <w:lvl w:ilvl="3" w:tplc="A30C95E0">
      <w:numFmt w:val="none"/>
      <w:lvlText w:val=""/>
      <w:lvlJc w:val="left"/>
      <w:pPr>
        <w:tabs>
          <w:tab w:val="num" w:pos="360"/>
        </w:tabs>
      </w:pPr>
      <w:rPr>
        <w:rFonts w:ascii="Times New Roman" w:hAnsi="Times New Roman" w:cs="Times New Roman"/>
      </w:rPr>
    </w:lvl>
    <w:lvl w:ilvl="4" w:tplc="2B6062E2">
      <w:numFmt w:val="none"/>
      <w:lvlText w:val=""/>
      <w:lvlJc w:val="left"/>
      <w:pPr>
        <w:tabs>
          <w:tab w:val="num" w:pos="360"/>
        </w:tabs>
      </w:pPr>
      <w:rPr>
        <w:rFonts w:ascii="Times New Roman" w:hAnsi="Times New Roman" w:cs="Times New Roman"/>
      </w:rPr>
    </w:lvl>
    <w:lvl w:ilvl="5" w:tplc="ED789932">
      <w:numFmt w:val="none"/>
      <w:lvlText w:val=""/>
      <w:lvlJc w:val="left"/>
      <w:pPr>
        <w:tabs>
          <w:tab w:val="num" w:pos="360"/>
        </w:tabs>
      </w:pPr>
      <w:rPr>
        <w:rFonts w:ascii="Times New Roman" w:hAnsi="Times New Roman" w:cs="Times New Roman"/>
      </w:rPr>
    </w:lvl>
    <w:lvl w:ilvl="6" w:tplc="B1BC0C62">
      <w:numFmt w:val="none"/>
      <w:lvlText w:val=""/>
      <w:lvlJc w:val="left"/>
      <w:pPr>
        <w:tabs>
          <w:tab w:val="num" w:pos="360"/>
        </w:tabs>
      </w:pPr>
      <w:rPr>
        <w:rFonts w:ascii="Times New Roman" w:hAnsi="Times New Roman" w:cs="Times New Roman"/>
      </w:rPr>
    </w:lvl>
    <w:lvl w:ilvl="7" w:tplc="7C22C418">
      <w:numFmt w:val="none"/>
      <w:lvlText w:val=""/>
      <w:lvlJc w:val="left"/>
      <w:pPr>
        <w:tabs>
          <w:tab w:val="num" w:pos="360"/>
        </w:tabs>
      </w:pPr>
      <w:rPr>
        <w:rFonts w:ascii="Times New Roman" w:hAnsi="Times New Roman" w:cs="Times New Roman"/>
      </w:rPr>
    </w:lvl>
    <w:lvl w:ilvl="8" w:tplc="773A58AE">
      <w:numFmt w:val="none"/>
      <w:lvlText w:val=""/>
      <w:lvlJc w:val="left"/>
      <w:pPr>
        <w:tabs>
          <w:tab w:val="num" w:pos="360"/>
        </w:tabs>
      </w:pPr>
      <w:rPr>
        <w:rFonts w:ascii="Times New Roman" w:hAnsi="Times New Roman" w:cs="Times New Roman"/>
      </w:rPr>
    </w:lvl>
  </w:abstractNum>
  <w:abstractNum w:abstractNumId="4" w15:restartNumberingAfterBreak="0">
    <w:nsid w:val="24E054DF"/>
    <w:multiLevelType w:val="hybridMultilevel"/>
    <w:tmpl w:val="72AA5142"/>
    <w:lvl w:ilvl="0" w:tplc="30662D84">
      <w:start w:val="1"/>
      <w:numFmt w:val="decimal"/>
      <w:lvlText w:val="%1."/>
      <w:lvlJc w:val="left"/>
      <w:pPr>
        <w:ind w:left="720" w:hanging="360"/>
      </w:pPr>
      <w:rPr>
        <w:rFonts w:ascii="Courier New" w:hAnsi="Courier New" w:cs="Courier New" w:hint="default"/>
        <w:color w:val="000000"/>
        <w:sz w:val="19"/>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4F912144"/>
    <w:multiLevelType w:val="hybridMultilevel"/>
    <w:tmpl w:val="BF1AE888"/>
    <w:lvl w:ilvl="0" w:tplc="4964EF66">
      <w:start w:val="10"/>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9125A7F"/>
    <w:multiLevelType w:val="multilevel"/>
    <w:tmpl w:val="ECDEC09C"/>
    <w:lvl w:ilvl="0">
      <w:start w:val="26"/>
      <w:numFmt w:val="decimal"/>
      <w:lvlText w:val="%1"/>
      <w:lvlJc w:val="left"/>
      <w:pPr>
        <w:ind w:left="405" w:hanging="405"/>
      </w:pPr>
      <w:rPr>
        <w:rFonts w:hint="default"/>
      </w:rPr>
    </w:lvl>
    <w:lvl w:ilvl="1">
      <w:start w:val="90"/>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num w:numId="1">
    <w:abstractNumId w:val="2"/>
  </w:num>
  <w:num w:numId="2">
    <w:abstractNumId w:val="3"/>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B01"/>
    <w:rsid w:val="000D0ACB"/>
    <w:rsid w:val="007932A2"/>
    <w:rsid w:val="00793CCB"/>
    <w:rsid w:val="007F1682"/>
    <w:rsid w:val="0087261C"/>
    <w:rsid w:val="00E42B01"/>
    <w:rsid w:val="00F14A0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37368-CD53-40ED-8BD4-FDFDBB02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B01"/>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uiPriority w:val="99"/>
    <w:qFormat/>
    <w:rsid w:val="00E42B01"/>
    <w:pPr>
      <w:keepNext/>
      <w:pBdr>
        <w:top w:val="single" w:sz="4" w:space="8" w:color="auto"/>
        <w:left w:val="single" w:sz="4" w:space="4" w:color="auto"/>
        <w:bottom w:val="single" w:sz="4" w:space="10" w:color="auto"/>
        <w:right w:val="single" w:sz="4" w:space="4" w:color="auto"/>
      </w:pBdr>
      <w:shd w:val="clear" w:color="auto" w:fill="C0C0C0"/>
      <w:jc w:val="center"/>
      <w:outlineLvl w:val="1"/>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E42B01"/>
    <w:rPr>
      <w:rFonts w:ascii="Times New Roman" w:eastAsia="Times New Roman" w:hAnsi="Times New Roman" w:cs="Times New Roman"/>
      <w:b/>
      <w:sz w:val="24"/>
      <w:szCs w:val="20"/>
      <w:shd w:val="clear" w:color="auto" w:fill="C0C0C0"/>
      <w:lang w:val="es-ES" w:eastAsia="es-ES"/>
    </w:rPr>
  </w:style>
  <w:style w:type="paragraph" w:styleId="Textoindependiente">
    <w:name w:val="Body Text"/>
    <w:basedOn w:val="Normal"/>
    <w:link w:val="TextoindependienteCar"/>
    <w:uiPriority w:val="99"/>
    <w:rsid w:val="00E42B01"/>
    <w:rPr>
      <w:rFonts w:ascii="Tahoma" w:hAnsi="Tahoma"/>
      <w:sz w:val="18"/>
    </w:rPr>
  </w:style>
  <w:style w:type="character" w:customStyle="1" w:styleId="TextoindependienteCar">
    <w:name w:val="Texto independiente Car"/>
    <w:basedOn w:val="Fuentedeprrafopredeter"/>
    <w:link w:val="Textoindependiente"/>
    <w:uiPriority w:val="99"/>
    <w:rsid w:val="00E42B01"/>
    <w:rPr>
      <w:rFonts w:ascii="Tahoma" w:eastAsia="Times New Roman" w:hAnsi="Tahoma" w:cs="Times New Roman"/>
      <w:sz w:val="18"/>
      <w:szCs w:val="20"/>
      <w:lang w:val="es-ES" w:eastAsia="es-ES"/>
    </w:rPr>
  </w:style>
  <w:style w:type="paragraph" w:styleId="Textodebloque">
    <w:name w:val="Block Text"/>
    <w:basedOn w:val="Normal"/>
    <w:uiPriority w:val="99"/>
    <w:rsid w:val="00E42B01"/>
    <w:pPr>
      <w:ind w:left="-142" w:right="-87"/>
      <w:jc w:val="both"/>
    </w:pPr>
    <w:rPr>
      <w:rFonts w:ascii="Tahoma" w:hAnsi="Tahoma"/>
      <w:sz w:val="17"/>
    </w:rPr>
  </w:style>
  <w:style w:type="character" w:styleId="Hipervnculo">
    <w:name w:val="Hyperlink"/>
    <w:uiPriority w:val="99"/>
    <w:rsid w:val="00E42B01"/>
    <w:rPr>
      <w:rFonts w:cs="Times New Roman"/>
      <w:color w:val="0000FF"/>
      <w:u w:val="single"/>
    </w:rPr>
  </w:style>
  <w:style w:type="paragraph" w:styleId="Prrafodelista">
    <w:name w:val="List Paragraph"/>
    <w:basedOn w:val="Normal"/>
    <w:uiPriority w:val="34"/>
    <w:qFormat/>
    <w:rsid w:val="00E42B01"/>
    <w:pPr>
      <w:spacing w:after="200" w:line="276" w:lineRule="auto"/>
      <w:ind w:left="720"/>
      <w:contextualSpacing/>
    </w:pPr>
    <w:rPr>
      <w:rFonts w:asciiTheme="minorHAnsi" w:eastAsiaTheme="minorHAnsi" w:hAnsiTheme="minorHAnsi" w:cstheme="minorBidi"/>
      <w:sz w:val="22"/>
      <w:szCs w:val="22"/>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valdivia@amag.edu.p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3538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Edith Arpasi Arpasi</dc:creator>
  <cp:lastModifiedBy>HORACIO DIAZ</cp:lastModifiedBy>
  <cp:revision>2</cp:revision>
  <dcterms:created xsi:type="dcterms:W3CDTF">2017-07-07T15:45:00Z</dcterms:created>
  <dcterms:modified xsi:type="dcterms:W3CDTF">2017-07-07T15:45:00Z</dcterms:modified>
</cp:coreProperties>
</file>